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B93162" w:rsidP="00B96962">
      <w:pPr>
        <w:pStyle w:val="a5"/>
        <w:tabs>
          <w:tab w:val="center" w:pos="4947"/>
          <w:tab w:val="left" w:pos="8115"/>
        </w:tabs>
        <w:rPr>
          <w:szCs w:val="28"/>
        </w:rPr>
      </w:pPr>
      <w:r>
        <w:rPr>
          <w:szCs w:val="28"/>
        </w:rPr>
        <w:t>07.04</w:t>
      </w:r>
      <w:r w:rsidR="00B96962" w:rsidRPr="00390009">
        <w:rPr>
          <w:szCs w:val="28"/>
        </w:rPr>
        <w:t>.</w:t>
      </w:r>
      <w:r w:rsidR="004567F4">
        <w:rPr>
          <w:szCs w:val="28"/>
        </w:rPr>
        <w:t>2020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</w:t>
      </w:r>
      <w:proofErr w:type="spellStart"/>
      <w:r w:rsidR="005E5915">
        <w:rPr>
          <w:szCs w:val="28"/>
        </w:rPr>
        <w:t>Демшинка</w:t>
      </w:r>
      <w:proofErr w:type="spellEnd"/>
      <w:r w:rsidR="005E5915">
        <w:rPr>
          <w:szCs w:val="28"/>
        </w:rPr>
        <w:t xml:space="preserve">                          </w:t>
      </w:r>
      <w:r w:rsidR="00B96962" w:rsidRPr="00390009">
        <w:rPr>
          <w:szCs w:val="28"/>
        </w:rPr>
        <w:t xml:space="preserve">№ </w:t>
      </w:r>
      <w:r>
        <w:rPr>
          <w:szCs w:val="28"/>
        </w:rPr>
        <w:t>16/1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отчета об исполнении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бюджета  сельского поселения </w:t>
            </w:r>
          </w:p>
          <w:p w:rsidR="005E5915" w:rsidRDefault="00B9696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Демшинский</w:t>
            </w:r>
            <w:r w:rsidR="00997E72">
              <w:rPr>
                <w:b/>
                <w:sz w:val="28"/>
              </w:rPr>
              <w:t xml:space="preserve"> сельсовет Добринского 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района </w:t>
            </w:r>
            <w:proofErr w:type="gramStart"/>
            <w:r>
              <w:rPr>
                <w:b/>
                <w:sz w:val="28"/>
              </w:rPr>
              <w:t>Липецкой</w:t>
            </w:r>
            <w:proofErr w:type="gramEnd"/>
          </w:p>
          <w:p w:rsidR="007E7EEE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област</w:t>
            </w:r>
            <w:r w:rsidR="007E2F78">
              <w:rPr>
                <w:b/>
                <w:sz w:val="28"/>
              </w:rPr>
              <w:t>и Российской Федерации</w:t>
            </w:r>
          </w:p>
          <w:p w:rsidR="00997E72" w:rsidRDefault="007E2F78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за</w:t>
            </w:r>
            <w:r w:rsidR="007E7EEE">
              <w:rPr>
                <w:b/>
                <w:sz w:val="28"/>
              </w:rPr>
              <w:t xml:space="preserve"> 1 квартал</w:t>
            </w:r>
            <w:r w:rsidR="007A6795"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>20</w:t>
            </w:r>
            <w:r w:rsidR="007E7EEE">
              <w:rPr>
                <w:b/>
                <w:sz w:val="28"/>
              </w:rPr>
              <w:t>20</w:t>
            </w:r>
            <w:r w:rsidR="00B72C11">
              <w:rPr>
                <w:b/>
                <w:sz w:val="28"/>
              </w:rPr>
              <w:t xml:space="preserve"> год</w:t>
            </w:r>
            <w:r w:rsidR="007E7EEE">
              <w:rPr>
                <w:b/>
                <w:sz w:val="28"/>
              </w:rPr>
              <w:t>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7E7EEE">
        <w:rPr>
          <w:color w:val="000000"/>
          <w:sz w:val="28"/>
          <w:szCs w:val="18"/>
        </w:rPr>
        <w:t>1 квартал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</w:t>
      </w:r>
      <w:r w:rsidR="007E7EEE">
        <w:rPr>
          <w:color w:val="000000"/>
          <w:sz w:val="28"/>
          <w:szCs w:val="18"/>
        </w:rPr>
        <w:t>20</w:t>
      </w:r>
      <w:r w:rsidR="00B72C11">
        <w:rPr>
          <w:color w:val="000000"/>
          <w:sz w:val="28"/>
          <w:szCs w:val="18"/>
        </w:rPr>
        <w:t xml:space="preserve"> год</w:t>
      </w:r>
      <w:r w:rsidR="007E7EEE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6962">
        <w:rPr>
          <w:rFonts w:ascii="Times New Roman" w:hAnsi="Times New Roman" w:cs="Times New Roman"/>
          <w:b/>
          <w:sz w:val="28"/>
          <w:szCs w:val="24"/>
        </w:rPr>
        <w:t xml:space="preserve">Глава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0B771E">
        <w:rPr>
          <w:rFonts w:ascii="Times New Roman" w:hAnsi="Times New Roman" w:cs="Times New Roman"/>
          <w:b/>
          <w:sz w:val="28"/>
          <w:szCs w:val="24"/>
        </w:rPr>
        <w:t>А. И.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>Двуреченских</w:t>
      </w:r>
    </w:p>
    <w:p w:rsidR="00997E72" w:rsidRPr="00B9696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b/>
          <w:sz w:val="28"/>
          <w:szCs w:val="28"/>
        </w:rPr>
      </w:pPr>
    </w:p>
    <w:p w:rsidR="00997E72" w:rsidRPr="005E5915" w:rsidRDefault="005E5915" w:rsidP="005E5915">
      <w:pPr>
        <w:jc w:val="right"/>
      </w:pPr>
      <w:r w:rsidRPr="005E5915">
        <w:t>Утвержден</w:t>
      </w:r>
    </w:p>
    <w:p w:rsidR="005E5915" w:rsidRPr="005E5915" w:rsidRDefault="005E5915" w:rsidP="005E5915">
      <w:pPr>
        <w:jc w:val="right"/>
      </w:pPr>
      <w:r w:rsidRPr="005E5915">
        <w:t>Постановлением администрации</w:t>
      </w:r>
    </w:p>
    <w:p w:rsidR="005E5915" w:rsidRPr="005E5915" w:rsidRDefault="005E5915" w:rsidP="005E5915">
      <w:pPr>
        <w:jc w:val="right"/>
      </w:pPr>
      <w:r w:rsidRPr="005E5915">
        <w:t xml:space="preserve"> сельского поселения</w:t>
      </w:r>
    </w:p>
    <w:p w:rsidR="005E5915" w:rsidRPr="005E5915" w:rsidRDefault="005E5915" w:rsidP="005E5915">
      <w:pPr>
        <w:jc w:val="right"/>
      </w:pPr>
      <w:r w:rsidRPr="005E5915">
        <w:t xml:space="preserve"> Демшинский сельсовет</w:t>
      </w:r>
    </w:p>
    <w:p w:rsidR="005E5915" w:rsidRPr="005E5915" w:rsidRDefault="007A6795" w:rsidP="005E5915">
      <w:pPr>
        <w:jc w:val="right"/>
      </w:pPr>
      <w:r>
        <w:t>№</w:t>
      </w:r>
      <w:r w:rsidR="00B93162">
        <w:t>16/1</w:t>
      </w:r>
      <w:r>
        <w:t xml:space="preserve"> </w:t>
      </w:r>
      <w:r w:rsidR="004567F4">
        <w:t xml:space="preserve"> от</w:t>
      </w:r>
      <w:r w:rsidR="00B93162">
        <w:t>07.04</w:t>
      </w:r>
      <w:r w:rsidR="004567F4">
        <w:t xml:space="preserve"> .2020</w:t>
      </w:r>
    </w:p>
    <w:p w:rsidR="00997E72" w:rsidRDefault="00997E72" w:rsidP="005E5915">
      <w:pPr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</w:t>
      </w:r>
    </w:p>
    <w:p w:rsidR="00B96962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96962">
        <w:rPr>
          <w:b/>
          <w:sz w:val="28"/>
          <w:szCs w:val="28"/>
        </w:rPr>
        <w:t>Демшинский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</w:t>
      </w:r>
      <w:r w:rsidR="00B72C11">
        <w:rPr>
          <w:b/>
          <w:sz w:val="28"/>
          <w:szCs w:val="28"/>
        </w:rPr>
        <w:t xml:space="preserve">бласти Российской Федерации за   </w:t>
      </w:r>
      <w:r w:rsidR="009F0271">
        <w:rPr>
          <w:b/>
          <w:sz w:val="28"/>
          <w:szCs w:val="28"/>
        </w:rPr>
        <w:t xml:space="preserve"> </w:t>
      </w:r>
      <w:r w:rsidR="007E7EEE">
        <w:rPr>
          <w:b/>
          <w:sz w:val="28"/>
          <w:szCs w:val="28"/>
        </w:rPr>
        <w:t xml:space="preserve">1 квартал </w:t>
      </w:r>
      <w:r w:rsidR="009F0271">
        <w:rPr>
          <w:b/>
          <w:sz w:val="28"/>
          <w:szCs w:val="28"/>
        </w:rPr>
        <w:t>20</w:t>
      </w:r>
      <w:r w:rsidR="007E7EEE">
        <w:rPr>
          <w:b/>
          <w:sz w:val="28"/>
          <w:szCs w:val="28"/>
        </w:rPr>
        <w:t>20</w:t>
      </w:r>
      <w:r w:rsidR="00B72C11">
        <w:rPr>
          <w:b/>
          <w:sz w:val="28"/>
          <w:szCs w:val="28"/>
        </w:rPr>
        <w:t xml:space="preserve"> год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Исполнение за  </w:t>
            </w:r>
            <w:r w:rsidR="00753837">
              <w:t xml:space="preserve">1 квартал </w:t>
            </w:r>
            <w:r w:rsidR="002F04AC">
              <w:t>20</w:t>
            </w:r>
            <w:r w:rsidR="00753837">
              <w:t>20</w:t>
            </w:r>
            <w:r w:rsidR="00B72C11">
              <w:t xml:space="preserve"> год</w:t>
            </w:r>
            <w:r w:rsidR="00753837">
              <w:t>а</w:t>
            </w:r>
          </w:p>
          <w:p w:rsidR="00627405" w:rsidRDefault="00627405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 w:rsidP="00FA1232">
            <w:pPr>
              <w:rPr>
                <w:b/>
              </w:rPr>
            </w:pPr>
            <w:r>
              <w:rPr>
                <w:b/>
              </w:rPr>
              <w:t>2361300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rPr>
                <w:b/>
              </w:rPr>
            </w:pPr>
            <w:r>
              <w:rPr>
                <w:b/>
              </w:rPr>
              <w:t>806015,71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jc w:val="center"/>
              <w:rPr>
                <w:b/>
              </w:rPr>
            </w:pPr>
            <w:r>
              <w:rPr>
                <w:b/>
              </w:rPr>
              <w:t>34,14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136000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35858,67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DC" w:rsidRDefault="00753837" w:rsidP="00DE46DC">
            <w:pPr>
              <w:jc w:val="center"/>
            </w:pPr>
            <w:r>
              <w:t>26,37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855000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555629,26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jc w:val="center"/>
            </w:pPr>
            <w:r>
              <w:t>64,99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4500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jc w:val="center"/>
            </w:pPr>
            <w:r>
              <w:t>-</w:t>
            </w:r>
          </w:p>
        </w:tc>
      </w:tr>
      <w:tr w:rsidR="00627405" w:rsidTr="00B72C11">
        <w:trPr>
          <w:trHeight w:val="34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21000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4676,26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jc w:val="center"/>
            </w:pPr>
            <w:r>
              <w:t>22,27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665000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85793,16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jc w:val="center"/>
            </w:pPr>
            <w:r>
              <w:t>12,90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 w:rsidRPr="00FA123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23000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 w:rsidP="007B27B2">
            <w:bookmarkStart w:id="0" w:name="_GoBack"/>
            <w:bookmarkEnd w:id="0"/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pPr>
              <w:jc w:val="center"/>
            </w:pPr>
            <w:r>
              <w:t>-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proofErr w:type="gramStart"/>
            <w:r w:rsidRPr="00FA123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753837">
            <w:r>
              <w:t>342000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95" w:rsidRDefault="00753837">
            <w:r>
              <w:t>120307,06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753837">
            <w:pPr>
              <w:jc w:val="center"/>
            </w:pPr>
            <w:r>
              <w:t>18,74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 w:rsidRPr="00FA123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>
              <w:t>14800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753837">
            <w:r>
              <w:t>3701,25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753837">
            <w:pPr>
              <w:jc w:val="center"/>
            </w:pPr>
            <w:r>
              <w:t>25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rPr>
                <w:b/>
              </w:rPr>
            </w:pPr>
            <w:r>
              <w:rPr>
                <w:b/>
              </w:rPr>
              <w:t>4476950,99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rPr>
                <w:b/>
              </w:rPr>
            </w:pPr>
            <w:r>
              <w:rPr>
                <w:b/>
              </w:rPr>
              <w:t>1179816,99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jc w:val="center"/>
              <w:rPr>
                <w:b/>
              </w:rPr>
            </w:pPr>
            <w:r>
              <w:rPr>
                <w:b/>
              </w:rPr>
              <w:t>26,35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3893600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973591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jc w:val="center"/>
            </w:pPr>
            <w:r>
              <w:t>25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80300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20075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jc w:val="center"/>
            </w:pPr>
            <w:r>
              <w:t>25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43490,99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r>
              <w:t>43490,99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pPr>
              <w:jc w:val="center"/>
            </w:pPr>
            <w:r>
              <w:t>100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</w:t>
            </w:r>
            <w:r w:rsidR="003F465A">
              <w:rPr>
                <w:color w:val="000000"/>
              </w:rPr>
              <w:t>о</w:t>
            </w:r>
            <w:r>
              <w:rPr>
                <w:color w:val="000000"/>
              </w:rPr>
              <w:t>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 w:rsidP="00DE46DC">
            <w:r>
              <w:t>354300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 w:rsidP="00FB1CE0">
            <w:r>
              <w:t>37400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pPr>
              <w:jc w:val="center"/>
            </w:pPr>
            <w:r>
              <w:t>10,56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  <w:r w:rsidR="007E2F78">
              <w:t xml:space="preserve">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r>
              <w:t>105260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 w:rsidP="00AE758E">
            <w:r>
              <w:t>105260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pPr>
              <w:jc w:val="center"/>
            </w:pPr>
            <w:r>
              <w:t>100</w:t>
            </w:r>
          </w:p>
        </w:tc>
      </w:tr>
      <w:tr w:rsidR="00627405" w:rsidTr="003F465A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 w:rsidP="003F465A">
            <w:pPr>
              <w:rPr>
                <w:b/>
              </w:rPr>
            </w:pPr>
            <w:r>
              <w:rPr>
                <w:b/>
              </w:rPr>
              <w:t>6838250,99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rPr>
                <w:b/>
              </w:rPr>
            </w:pPr>
            <w:r>
              <w:rPr>
                <w:b/>
              </w:rPr>
              <w:t>1985832,70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pPr>
              <w:jc w:val="center"/>
              <w:rPr>
                <w:b/>
              </w:rPr>
            </w:pPr>
            <w:r>
              <w:rPr>
                <w:b/>
              </w:rPr>
              <w:t>29,04</w:t>
            </w:r>
          </w:p>
        </w:tc>
      </w:tr>
      <w:tr w:rsidR="00627405" w:rsidTr="00B96962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AE758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7E7C5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7B27B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2750474,99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678986,79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 w:rsidP="00AE758E">
            <w:pPr>
              <w:jc w:val="center"/>
            </w:pPr>
            <w:r>
              <w:t>24,69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80300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20075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pPr>
              <w:jc w:val="center"/>
            </w:pPr>
            <w:r>
              <w:t>25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354300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r>
              <w:t>21352,80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pPr>
              <w:jc w:val="center"/>
            </w:pPr>
            <w:r>
              <w:t>6,03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 w:rsidP="007B27B2">
            <w:r>
              <w:t>2152995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285507,77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pPr>
              <w:jc w:val="center"/>
            </w:pPr>
            <w:r>
              <w:t>13,26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1309000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982167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pPr>
              <w:jc w:val="center"/>
            </w:pPr>
            <w:r>
              <w:t>75,03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AE758E">
            <w:r>
              <w:t>24000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753837" w:rsidP="00364706">
            <w: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753837">
            <w:pPr>
              <w:jc w:val="center"/>
            </w:pPr>
            <w:r>
              <w:t>16,67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753837">
            <w:r>
              <w:t>166181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753837" w:rsidP="00B72C11">
            <w:r>
              <w:t>45170,34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753837">
            <w:pPr>
              <w:jc w:val="center"/>
            </w:pPr>
            <w:r>
              <w:t>27,18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rPr>
                <w:b/>
              </w:rPr>
            </w:pPr>
            <w:r>
              <w:rPr>
                <w:b/>
              </w:rPr>
              <w:t>6838250,99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rPr>
                <w:b/>
              </w:rPr>
            </w:pPr>
            <w:r>
              <w:rPr>
                <w:b/>
              </w:rPr>
              <w:t>2037259,70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jc w:val="center"/>
            </w:pPr>
            <w:r>
              <w:t>29,79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26EDF"/>
    <w:rsid w:val="000861F0"/>
    <w:rsid w:val="000A6364"/>
    <w:rsid w:val="000B771E"/>
    <w:rsid w:val="000D6254"/>
    <w:rsid w:val="000F5ED9"/>
    <w:rsid w:val="00167A99"/>
    <w:rsid w:val="0021492F"/>
    <w:rsid w:val="002612BA"/>
    <w:rsid w:val="00280B3B"/>
    <w:rsid w:val="00281EF6"/>
    <w:rsid w:val="0028266E"/>
    <w:rsid w:val="002F04AC"/>
    <w:rsid w:val="00364706"/>
    <w:rsid w:val="00385872"/>
    <w:rsid w:val="003D7220"/>
    <w:rsid w:val="003F465A"/>
    <w:rsid w:val="003F4FBC"/>
    <w:rsid w:val="004567F4"/>
    <w:rsid w:val="005E5915"/>
    <w:rsid w:val="00627405"/>
    <w:rsid w:val="00687EE9"/>
    <w:rsid w:val="006A101E"/>
    <w:rsid w:val="006A6B75"/>
    <w:rsid w:val="007267C6"/>
    <w:rsid w:val="00753837"/>
    <w:rsid w:val="007850EC"/>
    <w:rsid w:val="007A6795"/>
    <w:rsid w:val="007B27B2"/>
    <w:rsid w:val="007E2F78"/>
    <w:rsid w:val="007E7C55"/>
    <w:rsid w:val="007E7EEE"/>
    <w:rsid w:val="00807429"/>
    <w:rsid w:val="008817A3"/>
    <w:rsid w:val="008968C4"/>
    <w:rsid w:val="008E5147"/>
    <w:rsid w:val="00904D4B"/>
    <w:rsid w:val="00997E72"/>
    <w:rsid w:val="009A60B9"/>
    <w:rsid w:val="009B24F4"/>
    <w:rsid w:val="009F0271"/>
    <w:rsid w:val="00AE758E"/>
    <w:rsid w:val="00B3568F"/>
    <w:rsid w:val="00B72C11"/>
    <w:rsid w:val="00B93162"/>
    <w:rsid w:val="00B96962"/>
    <w:rsid w:val="00CD15EA"/>
    <w:rsid w:val="00D16CF1"/>
    <w:rsid w:val="00D6111B"/>
    <w:rsid w:val="00D85193"/>
    <w:rsid w:val="00DE46DC"/>
    <w:rsid w:val="00E55DA7"/>
    <w:rsid w:val="00EB246A"/>
    <w:rsid w:val="00EC1DD8"/>
    <w:rsid w:val="00F85C2C"/>
    <w:rsid w:val="00F861DF"/>
    <w:rsid w:val="00FA1232"/>
    <w:rsid w:val="00FA490E"/>
    <w:rsid w:val="00FB1CE0"/>
    <w:rsid w:val="00FB2E0B"/>
    <w:rsid w:val="00FE0E0B"/>
    <w:rsid w:val="00F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59439-8C95-4824-85D5-AFAF8593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2020-05-07T09:42:00Z</cp:lastPrinted>
  <dcterms:created xsi:type="dcterms:W3CDTF">2020-05-07T09:18:00Z</dcterms:created>
  <dcterms:modified xsi:type="dcterms:W3CDTF">2020-05-12T12:00:00Z</dcterms:modified>
</cp:coreProperties>
</file>