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81997" w14:textId="5AA1DABB" w:rsidR="00271ED8" w:rsidRPr="008303E5" w:rsidRDefault="00271ED8" w:rsidP="00A75EAF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Pr="008303E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14:paraId="15CA6DC1" w14:textId="7BDFFAB5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A692A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779F249A" w14:textId="77777777" w:rsidR="00A75EAF" w:rsidRPr="00A75EAF" w:rsidRDefault="00A75EAF" w:rsidP="00A75EA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</w:pPr>
      <w:r w:rsidRPr="00A75EAF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Работу Управления по формированию налоговых уведомлений обсудили на заседании Общественного совета</w:t>
      </w:r>
    </w:p>
    <w:p w14:paraId="2F2722DD" w14:textId="450CC68E" w:rsidR="00271ED8" w:rsidRPr="008303E5" w:rsidRDefault="00A570FE" w:rsidP="00D03D1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 </w:t>
      </w:r>
    </w:p>
    <w:p w14:paraId="66DBDA56" w14:textId="77777777" w:rsidR="00A75EAF" w:rsidRPr="00A75EAF" w:rsidRDefault="00A75EAF" w:rsidP="00A75EAF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В рамках очередного заседания Общественного совета при УФНС России по Липецкой области участники встречи обсудили работу налогового ведомства по подготовке и направлению налоговых уведомлений для уплаты имущественных налогов за 2024 год.</w:t>
      </w:r>
    </w:p>
    <w:p w14:paraId="1B540DF4" w14:textId="77777777" w:rsidR="00A75EAF" w:rsidRPr="00A75EAF" w:rsidRDefault="00A75EAF" w:rsidP="00A75EAF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Начальник отдела камерального контроля в сфере налогообложения имущества </w:t>
      </w:r>
      <w:r w:rsidRPr="00A75EA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Владимир Меньшиков</w:t>
      </w: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 рассказал, что началась централизованная рассылка сводных налоговых уведомлений за 2024 год. Уплатить указанные в них суммы необходимо не позднее 1 декабря 2025 года. Всего в регионе будет направлено 548 тыс. уведомлений, из которых 358 тыс. — в электронном виде. Первыми получат уведомления пользователи </w:t>
      </w:r>
      <w:hyperlink r:id="rId6" w:history="1">
        <w:r w:rsidRPr="00A75EAF">
          <w:rPr>
            <w:rStyle w:val="a4"/>
            <w:rFonts w:ascii="Times New Roman" w:hAnsi="Times New Roman" w:cs="Times New Roman"/>
            <w:sz w:val="26"/>
            <w:szCs w:val="26"/>
          </w:rPr>
          <w:t>«Личного кабинета налогоплательщика»</w:t>
        </w:r>
      </w:hyperlink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 (ЛК ФЛ) или личного кабинета на портале </w:t>
      </w:r>
      <w:hyperlink r:id="rId7" w:history="1">
        <w:r w:rsidRPr="00A75EAF">
          <w:rPr>
            <w:rStyle w:val="a4"/>
            <w:rFonts w:ascii="Times New Roman" w:hAnsi="Times New Roman" w:cs="Times New Roman"/>
            <w:sz w:val="26"/>
            <w:szCs w:val="26"/>
          </w:rPr>
          <w:t>«Госуслуги»</w:t>
        </w:r>
      </w:hyperlink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 (ЛК ЕПГУ). Остальным налогоплательщикам документы будут направлены заказными письмами по почте на адрес регистрации.</w:t>
      </w:r>
    </w:p>
    <w:p w14:paraId="02A81506" w14:textId="77777777" w:rsidR="00A75EAF" w:rsidRPr="00A75EAF" w:rsidRDefault="00A75EAF" w:rsidP="00A75EAF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Перед началом рассылки были проведены мероприятия по актуализации сведений о налоговой базе и предоставлению налоговых льгот в </w:t>
      </w:r>
      <w:proofErr w:type="spellStart"/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беззаявительном</w:t>
      </w:r>
      <w:proofErr w:type="spellEnd"/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порядке. Общая сумма начислений по транспортному, земельному налогам и налогу на имущество физических лиц за 2024 год составила 2,9 млрд рублей, что на 185 млн рублей превышает показатель прошлого года. Рост обусловлен увеличением количества объектов налогообложения.</w:t>
      </w:r>
    </w:p>
    <w:p w14:paraId="053B3052" w14:textId="77777777" w:rsidR="00A75EAF" w:rsidRPr="00A75EAF" w:rsidRDefault="00A75EAF" w:rsidP="00A75EAF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Структура начислений сложилась следующим образом:</w:t>
      </w:r>
    </w:p>
    <w:p w14:paraId="4AB9628D" w14:textId="77777777" w:rsidR="00A75EAF" w:rsidRPr="00A75EAF" w:rsidRDefault="00A75EAF" w:rsidP="00A75EAF">
      <w:pPr>
        <w:numPr>
          <w:ilvl w:val="0"/>
          <w:numId w:val="10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налог на имущество — 1,1 млрд рублей (рост на 7,3%);</w:t>
      </w:r>
    </w:p>
    <w:p w14:paraId="4506A4DD" w14:textId="77777777" w:rsidR="00A75EAF" w:rsidRPr="00A75EAF" w:rsidRDefault="00A75EAF" w:rsidP="00A75EAF">
      <w:pPr>
        <w:numPr>
          <w:ilvl w:val="0"/>
          <w:numId w:val="10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земельный налог — 468 млн рублей (рост на 9,3%);</w:t>
      </w:r>
    </w:p>
    <w:p w14:paraId="2AEF8130" w14:textId="77777777" w:rsidR="00A75EAF" w:rsidRPr="00A75EAF" w:rsidRDefault="00A75EAF" w:rsidP="00A75EAF">
      <w:pPr>
        <w:numPr>
          <w:ilvl w:val="0"/>
          <w:numId w:val="10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транспортный налог — 1,1 млрд рублей (рост на 6,1%).</w:t>
      </w:r>
    </w:p>
    <w:p w14:paraId="413BCC2E" w14:textId="77777777" w:rsidR="00A75EAF" w:rsidRPr="00A75EAF" w:rsidRDefault="00A75EAF" w:rsidP="00A75EAF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Ежегодно увеличивается количество льготников. В 2024 году льготы на общую сумму 674 млн рублей были предоставлены 664 тыс. жителей области. Более 99% из них оформлены в </w:t>
      </w:r>
      <w:proofErr w:type="spellStart"/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беззаявительном</w:t>
      </w:r>
      <w:proofErr w:type="spellEnd"/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порядке на основании сведений от органов соцзащиты, СФР, Минобороны России и других ведомств. Если льгота не учтена в уведомлении, необходимо подать заявление по форме, утверждённой приказом </w:t>
      </w:r>
      <w:hyperlink r:id="rId8" w:history="1">
        <w:r w:rsidRPr="00A75EAF">
          <w:rPr>
            <w:rStyle w:val="a4"/>
            <w:rFonts w:ascii="Times New Roman" w:hAnsi="Times New Roman" w:cs="Times New Roman"/>
            <w:sz w:val="26"/>
            <w:szCs w:val="26"/>
          </w:rPr>
          <w:t>ФНС России от 14.11.2017 № ММВ-7-21/897@</w:t>
        </w:r>
      </w:hyperlink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. Сделать это можно через </w:t>
      </w:r>
      <w:hyperlink r:id="rId9" w:history="1">
        <w:r w:rsidRPr="00A75EAF">
          <w:rPr>
            <w:rStyle w:val="a4"/>
            <w:rFonts w:ascii="Times New Roman" w:hAnsi="Times New Roman" w:cs="Times New Roman"/>
            <w:sz w:val="26"/>
            <w:szCs w:val="26"/>
          </w:rPr>
          <w:t>«Личный кабинет налогоплательщика»</w:t>
        </w:r>
      </w:hyperlink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, почтой, при личном визите в налоговый орган или через МФЦ.</w:t>
      </w:r>
    </w:p>
    <w:p w14:paraId="2E14CDF7" w14:textId="77777777" w:rsidR="00A75EAF" w:rsidRPr="00A75EAF" w:rsidRDefault="00A75EAF" w:rsidP="00A75EAF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Далее с докладом выступила заместитель начальника отдела камерального контроля НДФЛ и СВ №2 </w:t>
      </w:r>
      <w:r w:rsidRPr="00A75EA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Лиана </w:t>
      </w:r>
      <w:proofErr w:type="spellStart"/>
      <w:r w:rsidRPr="00A75EA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Лепустина</w:t>
      </w:r>
      <w:proofErr w:type="spellEnd"/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, осветив работу по легализации деятельности пунктов выдачи заказов маркетплейсов. Проверка выявила систематические переводы средств физическим лицам, не оформленным официально, и неуплату обязательных платежей с их доходов. В результате работы межведомственной комиссии по обследованию 49 пунктов выдачи в 2025 году</w:t>
      </w:r>
      <w:r w:rsidRPr="00A75EA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 </w:t>
      </w: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представлено 75 расчетов по страховым взносам и форме 6-НДФЛ на сумму 1,6 млн рублей, что в три раза превышает показатель аналогичного периода 2024 года. Легализовано 204 сотрудника. Аналогичная работа ведётся в сфере частной охраны, такси и клининговых услуг. По итогам первого </w:t>
      </w: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полугодия 2025 года это способствовало росту средней заработной платы по области на 17,66%.</w:t>
      </w:r>
    </w:p>
    <w:p w14:paraId="6F2E3A9E" w14:textId="77777777" w:rsidR="00A75EAF" w:rsidRPr="00A75EAF" w:rsidRDefault="00A75EAF" w:rsidP="00A75EAF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И. о. заместителя руководителя </w:t>
      </w:r>
      <w:r w:rsidRPr="00A75EA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Михаил Смородин</w:t>
      </w: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 осветил судебно-правовую работу Управления в первом полугодии 2025 года. Так, в производстве арбитражных судов находится 70 дел на сумму 5,1 млрд рублей. Наиболее распространёнными налоговыми нарушениями являются: создание технических компаний (81%), искусственное дробление бизнеса (10%), переквалификация сделок (5%). Судом было рассмотрено 18 дел, из них в пользу налогового органа вынесено 16 судебных актов на сумму 321 млн рублей. Также спикер отметил эффективное взаимодействие ведомства со Следственным комитетом.</w:t>
      </w:r>
    </w:p>
    <w:p w14:paraId="5B8BC0F3" w14:textId="77777777" w:rsidR="00A75EAF" w:rsidRPr="00A75EAF" w:rsidRDefault="00A75EAF" w:rsidP="00A75EAF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75EAF">
        <w:rPr>
          <w:rFonts w:ascii="Times New Roman" w:hAnsi="Times New Roman" w:cs="Times New Roman"/>
          <w:color w:val="000000" w:themeColor="text1"/>
          <w:sz w:val="26"/>
          <w:szCs w:val="26"/>
        </w:rPr>
        <w:t>В завершение члены Общественного совета дали положительную оценку судебно-правовой работе Управления и работе по легализации трудовых отношений, а также определили каналы для информирования граждан о кампании по налоговым уведомлениям.                                                        </w:t>
      </w:r>
    </w:p>
    <w:p w14:paraId="17AE1C9C" w14:textId="77777777" w:rsidR="00A15A73" w:rsidRDefault="00A15A73" w:rsidP="00A15A7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20040A" w14:textId="77777777" w:rsidR="00DC6B07" w:rsidRDefault="00DC6B07" w:rsidP="00A15A7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512FAD" w14:textId="4AD3BDE1" w:rsidR="004A44BA" w:rsidRPr="00A75EAF" w:rsidRDefault="00DC6B07" w:rsidP="00A75EAF">
      <w:pPr>
        <w:shd w:val="clear" w:color="auto" w:fill="FFFFFF"/>
        <w:spacing w:after="120" w:line="240" w:lineRule="auto"/>
        <w:jc w:val="right"/>
        <w:rPr>
          <w:b/>
          <w:bCs/>
          <w:i/>
          <w:iCs/>
        </w:rPr>
      </w:pPr>
      <w:r w:rsidRPr="00A75EA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</w:t>
      </w:r>
      <w:r w:rsidR="00A75EAF" w:rsidRPr="00A75EAF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A75EAF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5E51"/>
    <w:multiLevelType w:val="multilevel"/>
    <w:tmpl w:val="4200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C4F0F"/>
    <w:multiLevelType w:val="hybridMultilevel"/>
    <w:tmpl w:val="77F2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04748"/>
    <w:multiLevelType w:val="multilevel"/>
    <w:tmpl w:val="D738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601BB"/>
    <w:multiLevelType w:val="hybridMultilevel"/>
    <w:tmpl w:val="295E4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51EBE"/>
    <w:multiLevelType w:val="hybridMultilevel"/>
    <w:tmpl w:val="0250F912"/>
    <w:lvl w:ilvl="0" w:tplc="BA4200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042F4"/>
    <w:multiLevelType w:val="multilevel"/>
    <w:tmpl w:val="8F36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BB3ECF"/>
    <w:multiLevelType w:val="hybridMultilevel"/>
    <w:tmpl w:val="9DD20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C41B0"/>
    <w:multiLevelType w:val="multilevel"/>
    <w:tmpl w:val="651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7F39B0"/>
    <w:multiLevelType w:val="hybridMultilevel"/>
    <w:tmpl w:val="8438F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68214D"/>
    <w:multiLevelType w:val="multilevel"/>
    <w:tmpl w:val="9C0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2114126">
    <w:abstractNumId w:val="1"/>
  </w:num>
  <w:num w:numId="2" w16cid:durableId="559681959">
    <w:abstractNumId w:val="6"/>
  </w:num>
  <w:num w:numId="3" w16cid:durableId="1691099750">
    <w:abstractNumId w:val="4"/>
  </w:num>
  <w:num w:numId="4" w16cid:durableId="233704118">
    <w:abstractNumId w:val="3"/>
  </w:num>
  <w:num w:numId="5" w16cid:durableId="618801943">
    <w:abstractNumId w:val="9"/>
  </w:num>
  <w:num w:numId="6" w16cid:durableId="1141924104">
    <w:abstractNumId w:val="7"/>
  </w:num>
  <w:num w:numId="7" w16cid:durableId="1376194569">
    <w:abstractNumId w:val="8"/>
  </w:num>
  <w:num w:numId="8" w16cid:durableId="1048845535">
    <w:abstractNumId w:val="2"/>
  </w:num>
  <w:num w:numId="9" w16cid:durableId="1764842181">
    <w:abstractNumId w:val="5"/>
  </w:num>
  <w:num w:numId="10" w16cid:durableId="1734232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D9"/>
    <w:rsid w:val="00005F0F"/>
    <w:rsid w:val="00012BF5"/>
    <w:rsid w:val="000C3F2C"/>
    <w:rsid w:val="00120410"/>
    <w:rsid w:val="001C48AF"/>
    <w:rsid w:val="001D6C18"/>
    <w:rsid w:val="001F199C"/>
    <w:rsid w:val="00271ED8"/>
    <w:rsid w:val="002734EA"/>
    <w:rsid w:val="00280E4D"/>
    <w:rsid w:val="002A578F"/>
    <w:rsid w:val="002D7432"/>
    <w:rsid w:val="002E7D51"/>
    <w:rsid w:val="00334939"/>
    <w:rsid w:val="004A44BA"/>
    <w:rsid w:val="004C38E6"/>
    <w:rsid w:val="004C71F5"/>
    <w:rsid w:val="00571168"/>
    <w:rsid w:val="00582CD6"/>
    <w:rsid w:val="006059D0"/>
    <w:rsid w:val="006129AF"/>
    <w:rsid w:val="00630443"/>
    <w:rsid w:val="00737C6F"/>
    <w:rsid w:val="00747FBB"/>
    <w:rsid w:val="00754CCD"/>
    <w:rsid w:val="00777B69"/>
    <w:rsid w:val="00780EE4"/>
    <w:rsid w:val="007912E0"/>
    <w:rsid w:val="007F0315"/>
    <w:rsid w:val="00816057"/>
    <w:rsid w:val="008B0C92"/>
    <w:rsid w:val="009415F7"/>
    <w:rsid w:val="00974EF3"/>
    <w:rsid w:val="009A2A73"/>
    <w:rsid w:val="009D43C2"/>
    <w:rsid w:val="00A115BD"/>
    <w:rsid w:val="00A15A73"/>
    <w:rsid w:val="00A51E62"/>
    <w:rsid w:val="00A570FE"/>
    <w:rsid w:val="00A75EAF"/>
    <w:rsid w:val="00AE7DFF"/>
    <w:rsid w:val="00BB7830"/>
    <w:rsid w:val="00BF3D85"/>
    <w:rsid w:val="00C02476"/>
    <w:rsid w:val="00CA4EFE"/>
    <w:rsid w:val="00D03D13"/>
    <w:rsid w:val="00D76D19"/>
    <w:rsid w:val="00D96412"/>
    <w:rsid w:val="00DC6B07"/>
    <w:rsid w:val="00E04E53"/>
    <w:rsid w:val="00E56041"/>
    <w:rsid w:val="00EA2B6F"/>
    <w:rsid w:val="00EC36AC"/>
    <w:rsid w:val="00F27087"/>
    <w:rsid w:val="00FB32D9"/>
    <w:rsid w:val="00FC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82CC"/>
  <w15:docId w15:val="{7D88121E-D023-42FD-8A30-67D3BF2B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paragraph" w:styleId="1">
    <w:name w:val="heading 1"/>
    <w:basedOn w:val="a"/>
    <w:next w:val="a"/>
    <w:link w:val="10"/>
    <w:uiPriority w:val="9"/>
    <w:qFormat/>
    <w:rsid w:val="00D76D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A570F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570FE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2734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D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about_fts/docs/7099921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kfl2.nalog.ru/lkf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kfl2.nalog.ru/lk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FE575-B1FE-4A12-9BD6-19B5CB798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13</cp:revision>
  <dcterms:created xsi:type="dcterms:W3CDTF">2024-12-03T16:43:00Z</dcterms:created>
  <dcterms:modified xsi:type="dcterms:W3CDTF">2025-09-30T14:04:00Z</dcterms:modified>
</cp:coreProperties>
</file>