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4" w:rsidRDefault="00C51CC4" w:rsidP="00A12E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1CC4" w:rsidRDefault="00C51CC4" w:rsidP="00A12E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7B90" w:rsidRPr="0067097C" w:rsidRDefault="003F427D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04988227" r:id="rId9"/>
        </w:pict>
      </w:r>
    </w:p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E50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01.11.2018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№ 85</w:t>
      </w:r>
    </w:p>
    <w:p w:rsidR="00E67CC1" w:rsidRPr="0067097C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67097C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«Устойчивое развитие  территории сельского поселения Демшинский сельсовет Добринского  муниципального района Липецкой области на 201</w:t>
      </w:r>
      <w:r w:rsidR="001E3845" w:rsidRPr="0067097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9</w:t>
      </w:r>
      <w:r w:rsidRPr="0067097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-202</w:t>
      </w:r>
      <w:r w:rsidR="001E3845" w:rsidRPr="0067097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4</w:t>
      </w:r>
      <w:r w:rsidRPr="0067097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F2E35" w:rsidRPr="0067097C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</w:t>
      </w:r>
      <w:r w:rsidR="00690ED9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="00334B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4B1C" w:rsidRPr="00334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334B1C" w:rsidRPr="00334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редакции решений №90-рс от 06.04.2012г., № 170-рс от 11.10.2018г.)</w:t>
      </w:r>
      <w:r w:rsidR="00334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и постановлением администрации сельского поселения Демшинский сельсовет от </w:t>
      </w:r>
      <w:r w:rsidR="009832C2"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>17.10.2018 № 81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67097C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67097C" w:rsidRDefault="002347FB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Pr="0067097C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D626B1" w:rsidRPr="0067097C" w:rsidRDefault="00D626B1" w:rsidP="0080582A">
      <w:pPr>
        <w:pStyle w:val="ConsPlusNormal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7097C">
        <w:rPr>
          <w:rFonts w:ascii="Times New Roman" w:eastAsia="Cambria" w:hAnsi="Times New Roman" w:cs="Times New Roman"/>
          <w:sz w:val="28"/>
          <w:szCs w:val="28"/>
        </w:rPr>
        <w:t>1.Утвердить муниципальную Программу «Устойчивое развитие территории сельского поселения Демшинский  сельсовет Добринского муниципального района Липецкой области на 201</w:t>
      </w:r>
      <w:r w:rsidR="001E3845" w:rsidRPr="0067097C">
        <w:rPr>
          <w:rFonts w:ascii="Times New Roman" w:eastAsia="Cambria" w:hAnsi="Times New Roman" w:cs="Times New Roman"/>
          <w:sz w:val="28"/>
          <w:szCs w:val="28"/>
        </w:rPr>
        <w:t>9</w:t>
      </w:r>
      <w:r w:rsidRPr="0067097C">
        <w:rPr>
          <w:rFonts w:ascii="Times New Roman" w:eastAsia="Cambria" w:hAnsi="Times New Roman" w:cs="Times New Roman"/>
          <w:sz w:val="28"/>
          <w:szCs w:val="28"/>
        </w:rPr>
        <w:t xml:space="preserve">-2024 годы» </w:t>
      </w:r>
      <w:r w:rsidR="0080582A">
        <w:rPr>
          <w:rFonts w:ascii="Times New Roman" w:eastAsia="Cambria" w:hAnsi="Times New Roman" w:cs="Times New Roman"/>
          <w:sz w:val="28"/>
          <w:szCs w:val="28"/>
        </w:rPr>
        <w:t>(прилагается</w:t>
      </w:r>
      <w:r w:rsidRPr="0067097C">
        <w:rPr>
          <w:rFonts w:ascii="Times New Roman" w:eastAsia="Cambria" w:hAnsi="Times New Roman" w:cs="Times New Roman"/>
          <w:sz w:val="28"/>
          <w:szCs w:val="28"/>
        </w:rPr>
        <w:t>).</w:t>
      </w:r>
    </w:p>
    <w:p w:rsidR="00D626B1" w:rsidRPr="0067097C" w:rsidRDefault="00D626B1" w:rsidP="0080582A">
      <w:pPr>
        <w:pStyle w:val="ConsPlusNormal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F2E35" w:rsidRPr="0067097C" w:rsidRDefault="002347FB" w:rsidP="0080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2.  Настоящее постановление</w:t>
      </w:r>
      <w:r w:rsidR="00805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82A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</w:t>
      </w:r>
      <w:r w:rsidRPr="0067097C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  <w:r w:rsidR="00A31096" w:rsidRPr="0067097C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520D29" w:rsidRPr="0067097C">
        <w:rPr>
          <w:rFonts w:ascii="Times New Roman" w:hAnsi="Times New Roman" w:cs="Times New Roman"/>
          <w:sz w:val="28"/>
          <w:szCs w:val="28"/>
        </w:rPr>
        <w:t>с 01.01.2019 года.</w:t>
      </w:r>
    </w:p>
    <w:p w:rsidR="008277DF" w:rsidRDefault="008277DF" w:rsidP="0080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67097C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EF4633" w:rsidRPr="0067097C" w:rsidRDefault="00EF4633" w:rsidP="006709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67097C" w:rsidRDefault="00D626B1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63209" w:rsidRPr="0067097C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67097C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500CF" w:rsidRPr="0067097C" w:rsidRDefault="00E500C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3209" w:rsidRPr="0067097C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E5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35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5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01.11.2018    </w:t>
      </w:r>
      <w:r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D78EB" w:rsidRPr="0067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</w:p>
    <w:p w:rsidR="00D626B1" w:rsidRPr="0067097C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«Устойчивое развитие территории</w:t>
      </w: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Демшинский сельсовет </w:t>
      </w: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E3845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60DE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60DE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626B1" w:rsidRPr="0067097C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67097C" w:rsidTr="00D626B1">
        <w:trPr>
          <w:trHeight w:val="20"/>
        </w:trPr>
        <w:tc>
          <w:tcPr>
            <w:tcW w:w="3600" w:type="dxa"/>
          </w:tcPr>
          <w:p w:rsidR="00A3696A" w:rsidRPr="0067097C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67097C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67097C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E384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C160DE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67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1.Темп роста инвестиций в основной капитал 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полному кругу предприятий)</w:t>
            </w:r>
          </w:p>
          <w:p w:rsidR="00D626B1" w:rsidRPr="0067097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2.Т</w:t>
            </w:r>
            <w:r w:rsidR="00D626B1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емп роста налоговых поступлений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</w:t>
            </w:r>
          </w:p>
          <w:p w:rsidR="00D626B1" w:rsidRPr="0067097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67097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D626B1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 жилья, кв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Создание условий для развития человеческого потенциала</w:t>
            </w:r>
          </w:p>
          <w:p w:rsidR="006B321A" w:rsidRPr="0067097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Повышение 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7173" w:type="dxa"/>
          </w:tcPr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Pr="0067097C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626B1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2D0428" w:rsidRPr="0067097C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4.Доля населения, участвующего в культурно</w:t>
            </w:r>
            <w:r w:rsidR="00C92847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досуговых мероприятиях</w:t>
            </w:r>
          </w:p>
          <w:p w:rsidR="002D0428" w:rsidRPr="0067097C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C92847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173" w:type="dxa"/>
          </w:tcPr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26337708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руб., из них: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4634583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3349185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4450485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4634485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4634485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C92847" w:rsidRPr="0067097C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2024 год – </w:t>
            </w:r>
            <w:r w:rsidR="00A3696A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4634485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626B1" w:rsidRPr="0067097C" w:rsidTr="00D626B1">
        <w:trPr>
          <w:trHeight w:val="20"/>
        </w:trPr>
        <w:tc>
          <w:tcPr>
            <w:tcW w:w="3600" w:type="dxa"/>
          </w:tcPr>
          <w:p w:rsidR="00D626B1" w:rsidRPr="0067097C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в 202</w:t>
            </w:r>
            <w:r w:rsidR="00C160DE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году:</w:t>
            </w:r>
          </w:p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прироста инвестиций в основной капитал на 3,5%;</w:t>
            </w:r>
          </w:p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прироста налоговых поступлений на 14 %;</w:t>
            </w:r>
          </w:p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увеличение ввода жилья </w:t>
            </w:r>
            <w:r w:rsidR="00BD5B3C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B95F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кв.м.</w:t>
            </w:r>
          </w:p>
          <w:p w:rsidR="00703CE0" w:rsidRPr="0067097C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626B1" w:rsidRPr="0067097C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626B1" w:rsidRPr="0067097C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6B1" w:rsidRPr="0067097C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Текстовая часть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Краткая характеристика текущего состояния, формулировка проблем и рисков социально-экономического развития поселения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 программа «Устойчивое развитие территории сельского поселения Демшинский сельсовет на 201</w:t>
      </w:r>
      <w:r w:rsidR="001E3845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-2024 годы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характеризует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экономическое развитие </w:t>
      </w:r>
      <w:proofErr w:type="spell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Демшинского</w:t>
      </w:r>
      <w:proofErr w:type="spell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на 201</w:t>
      </w:r>
      <w:r w:rsidR="001E3845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сессии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proofErr w:type="spell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Демшинского</w:t>
      </w:r>
      <w:proofErr w:type="spell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27.07.2009 № 145-рс «Стратегия социально-экономического развития сельского поселения Демшинский сельсовет  на период до 2020 года» (с учётом изменений).</w:t>
      </w:r>
      <w:r w:rsidRPr="00670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Развитие сельского поселения </w:t>
      </w:r>
      <w:proofErr w:type="spell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Демшинского</w:t>
      </w:r>
      <w:proofErr w:type="spell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Сельское поселение Демшинский сельсовет Добринского муниципального района Липецкой области расположено в Добринском районе Липецкой области.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Площадь поселения составляет 51,44 кв.км</w:t>
      </w:r>
      <w:proofErr w:type="gramStart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4 690,22 га"/>
        </w:smartTagPr>
        <w:r w:rsidRPr="0067097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4 690,22 га</w:t>
        </w:r>
      </w:smartTag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 С  поселком Добринка его связывают дороги с твердым покрытием.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поселения расположено 5 населенных пунктов, где проживает </w:t>
      </w:r>
      <w:r w:rsidR="00BD5B3C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780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На территории поселения находятся объекты благоустройства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 Благоустройство территорий поселения – важнейшая составная часть его развития и одна из приоритетных задач органов местного самоуправления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 Демшинский сельсовет проводится целенаправленная работа по благоустройству территории: проведены работы по ремонту дорожного покрытия, установлены дорожные знаки, проведены дополнительные линии уличного освещения, ручная уборка дорог местного значения и т.д.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несмотря на это существует ряд проблем в вопросах благоустройства, которые нужно решать.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благоустройства территории поселения,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сегодняшнем состоянии коммунальное хозяйство характеризуется низкой инвестиционной привлекательностью, высокой степенью аварийности, низкой эффективностью системы управления.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Актуальна проблема износа объектов коммунальной инфраструктуры. Уровень износа фондов коммунал</w:t>
      </w:r>
      <w:r w:rsidR="00C160DE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инфраструктуры составляет </w:t>
      </w:r>
      <w:r w:rsidR="00B95F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0DE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Модернизация объектов коммунальной инфраструктуры связана как с реконструкцией существующих объектов с высоким уровнем износа, так и со строительством новых объектов, направленных на их замену.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Существующие финансово -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механизмы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Демшинский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повысить конкурентоспособность экономики и благосостояние граждан.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Важнейшей составляющей социально ориентированной экономики является широко развитая и успешно функционирующая система отраслей социальной сферы. Социальная сфера – это самостоятельная сфера общественной жизни, в которой реализуются многообразные социальные интересы в отношениях социальных субъектов.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современной экономике социальная сфера стала важнейшим фактором и источником экономического роста. Возможности поступательного развития экономики оказались напрямую связанными с качественным развитием способностей человека. Определяющее влияние на качество рабочей силы оказывает культурное обслуживание и все те сферы деятельности, которые формируют человеческий капитал.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развитии и формировании личности большое значение имеет его нравственное воспитание и развитие, роль моральных принципов, а также физическое воспитание, укрепление сил и здоровья.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сфера охватывает все пространство жизни человека – от условий его труда и быта, охраны здоровья, досуговой деятельности до социально-культурных и национальных отношений.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Сферой реализации муниципальной программы также является организация эффективной деятельности в области гражданской обороны, защиты населения и территорий от чрезвычайных ситуаций природного и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техногенного характера, обеспечения пожарной безопасности и безопасности людей на водных объектах.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 Демшинский сельсовет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угрозу для населения сельского поселения представляют  распространение природно-очаговых инфекций, источником и резервуаром которых являются мышевидные грызуны на территории сельского поселения.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основных проблем развития территории относятся: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сложная демографическая ситуация.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Складывающаяся демографическая ситуация не способствует формированию трудового потенциала, обеспечивающего поступательное социально-экономическое развитие сельской территории.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низкий уровень развития инженерной инфраструктуры и социальной сферы.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обеспеченности села объектами социально-инженерной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сельской молодежи.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администрации сельского поселения Демшинский сельсовет занято  3 человека, из них муниципальных служащих один человек.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Кадровая проблема сегодня остаётся самой острой практически во всех отраслях и сферах жизни нашего общества и государства.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Обучение кадров рассматривается как процесс, в ходе которого решаются следующие задачи: формирование высокопрофессионального кадрового корпуса муниципальных служащих, обеспечение стабильности кадров муниципальной службы; стимулирование профессиональной компетентности и повышения квалификации работников, повышение организованности, ответственности и дисциплинированности кадров.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кадрового потенциала муниципальной службы способствуют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 могут возникнуть следующие риски: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природные риски, связанные с воздействием на жизнедеятельность сельского </w:t>
      </w:r>
      <w:r w:rsidR="00216518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опасных природных явлений.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 реализации Программы.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 достижения цели: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1.Темп роста инвестиций в основной капитал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полному кругу предприятий)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2.Темп роста налоговых поступлений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3.Темп роста среднемесячной начисленной заработной платы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Ввод жилья, кв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3CE0" w:rsidRPr="0067097C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Создание условий для развития человеческого потенциала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Повышение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CE0" w:rsidRPr="0067097C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  <w:proofErr w:type="gramEnd"/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решения поставленных задач станет: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 202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инвестиций в основной капитал на 3,5%;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налоговых поступлений на 14 %;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увеличения среднемесячной начисленной заработной платы на 7 %;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ввода жилья до  </w:t>
      </w:r>
      <w:r w:rsidR="00B95F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703CE0" w:rsidRPr="0067097C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поставленной цели и задач Программы реализуются 4  подпрограммы: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Развитие социальной сферы на территории сельского поселения Демшинский сельсовет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3.Обеспечение безопасности человека и природной среды на территории сельского поселения Демшинский  сельсовет. </w:t>
      </w:r>
    </w:p>
    <w:p w:rsidR="00C160DE" w:rsidRPr="0067097C" w:rsidRDefault="00C160DE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сельсовет.</w:t>
      </w:r>
    </w:p>
    <w:p w:rsidR="00703CE0" w:rsidRPr="0067097C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«Обеспечение населения качественной, развитой инфраструктурой и повышение уровня благоустройства на территории сельского поселения Демшинский сельсовет» направлена на обеспечение жителей качественной инфраструктурой и услугами благоустройства посредством решения следующих задач: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Модернизация  дорожной и коммунальной инфраструктуры.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Обеспечение  проведения  мероприятий по благоустройству территории поселения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«Развитие социальной сферы  на территории сельского поселения Демшинский  сельсовет » направлена на создание условий для развития человеческого потенциала посредством решения следующих задач: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03E4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жителей поселения к регулярным занятиям физической культурой и спортом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03E4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творческого потенциала сельского поселения.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Подпрограмма «Обеспечение безопасности человека и природной среды на территории сельского поселения Демшинский сельсовет » направлена на создание условий для безопасного проживания, работы и отдыха на территории поселения, сохранение и развитие природного потенциала поселения посредством решения следующей  задачи: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Предотвращение 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4.</w:t>
      </w: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 реализации  муниципальной  политики   на территории  сельского поселения  Демшинский   сельсовет» направлена  на  повышение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 деятельности органов  местного самоуправления сельского поселения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Демшинский сельсовет, посредством выполнения следующих задач: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Программы охватывают период 201</w:t>
      </w:r>
      <w:r w:rsidR="001E3845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без выделения этапов.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реализации Программы является создание к 202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благоприятных условий для повышения благосостояния и качества жизни населения на территории поселения, обеспечения устойчивых темпов экономического роста, усиления конкурентных позиций поселения.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ожидаемым конечным результатам выполнения Программы в 202</w:t>
      </w:r>
      <w:r w:rsidR="003A1E4C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относятся: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инвестиций в основной капитал на 3,5%;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налоговых поступлений на 14 %;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увеличения среднемесячной начисленной заработной платы на 7 %;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ввода жилья до  </w:t>
      </w:r>
      <w:r w:rsidR="00B95F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реализации Программы оценивается по целевым индикаторам и целевым показателям задач, характеризующим позитивные изменения в развитии экономике поселения в целом. 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муниципальной программы в 201</w:t>
      </w:r>
      <w:r w:rsidR="001E3845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Программы за весь период реализации прогнозно составит </w:t>
      </w:r>
      <w:r w:rsidR="00A3696A" w:rsidRPr="00670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3696A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26337708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 том числе: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подпрограммы «Обеспечение населения качественной, развитой инфраструктурой и повышение уровня благоустройства территории сельского</w:t>
      </w:r>
      <w:r w:rsidR="00E72974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Демшинский сельсовет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предположительно</w:t>
      </w:r>
      <w:r w:rsidR="00E84E32" w:rsidRPr="00670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84E32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15954816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 подпрограммы «Развитие социальной сферы на территории сельского поселения Демшинский сельсовет » - предположительно </w:t>
      </w:r>
      <w:r w:rsidR="00E84E32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9900072</w:t>
      </w:r>
      <w:r w:rsidR="00E84E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подпрограммы «Обеспечение безопасности человека и природной среды на территории сельского поселения Демшинский  сельсовет »- предположительно </w:t>
      </w:r>
      <w:r w:rsidR="00E84E32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6000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-подпрограмма «Обеспечение реализации муниципальной политики на территории сельского поселения Демшинский сельсовет»  предположительно </w:t>
      </w:r>
      <w:r w:rsidR="00E84E32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476820</w:t>
      </w:r>
      <w:r w:rsidR="00E84E32" w:rsidRPr="00670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бюджетного финансирования за счет средств бюджета сельского поселения Демшинский  сельсовет уточняются при формировании бюджета сельского поселения на очередной финансовый год.</w:t>
      </w:r>
    </w:p>
    <w:p w:rsidR="00E84E32" w:rsidRPr="0067097C" w:rsidRDefault="00E84E32" w:rsidP="00E84E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индикаторах цели, показателях задач и объемах финансирования</w:t>
      </w:r>
    </w:p>
    <w:p w:rsidR="00703CE0" w:rsidRPr="0067097C" w:rsidRDefault="00E84E32" w:rsidP="00E84E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представлено в Приложении 1</w:t>
      </w:r>
      <w:r w:rsidR="00703CE0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Программе.</w:t>
      </w:r>
    </w:p>
    <w:p w:rsidR="00703CE0" w:rsidRPr="0067097C" w:rsidRDefault="00E84E32" w:rsidP="00E84E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Прогнозная оценка расходов по источникам ресурсного обеспечения на реализацию муниципальной программы представлено в Приложении 2</w:t>
      </w:r>
      <w:r w:rsidR="00703CE0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Программе.</w:t>
      </w:r>
    </w:p>
    <w:p w:rsidR="00703CE0" w:rsidRPr="0067097C" w:rsidRDefault="001266ED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03CE0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Мониторинг реализации муниципальной программы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реализацией Программы осуществляется в соответствии с постановлением администрации сельского поселения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67097C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17.10.2018 г. № 81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запланированного.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Программы.</w:t>
      </w:r>
    </w:p>
    <w:p w:rsidR="00703CE0" w:rsidRPr="0067097C" w:rsidRDefault="001266ED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03CE0"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Методика расчета целевых индикаторов и показателей задач муниципальной программы поселения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-Темп роста инвестиций в основной капитал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полному кругу предприятий)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-Темп роста налоговых поступлений 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-Темп роста среднемесячной начисленной заработной платы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Ввод жилья, кв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Удельный вес дорог с твердым покрытием в общей протяженности дорог местного значения в пределах поселения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протяженности освещенных частей улиц, проездов в их общей протяженности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населения, систематически занимающегося физической культурой и спортом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-Доля населения, участвующего в культурно - досуговых мероприятиях</w:t>
      </w:r>
    </w:p>
    <w:p w:rsidR="005B3B0A" w:rsidRPr="0067097C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-Доля муниципальных служащих прошедших повышение квалификации от общего количества муниципальных служащих </w:t>
      </w:r>
    </w:p>
    <w:p w:rsidR="00703CE0" w:rsidRPr="0067097C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67097C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67097C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1 «Обеспечения населения качественной,  развитой инфраструктурой и повышение уровня благоустройства  территории сельского поселения Демшинский сельсовет »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Подпрограммы 1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Подпрограмма)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6937"/>
      </w:tblGrid>
      <w:tr w:rsidR="00E84E32" w:rsidRPr="0067097C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67097C" w:rsidRDefault="00E84E32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67097C" w:rsidRDefault="00E84E32" w:rsidP="0066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667689" w:rsidRPr="0067097C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67097C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Протяженность построенных, капитально отремонтированных и прошедших  текущий ремонт дорог.</w:t>
            </w:r>
          </w:p>
          <w:p w:rsidR="00667689" w:rsidRPr="0067097C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67689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.Протяженность освещенных  частей улиц, проездов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67689" w:rsidRPr="0067097C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67097C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E384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- 202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667689" w:rsidRPr="0067097C" w:rsidTr="00A2413F">
        <w:trPr>
          <w:trHeight w:val="20"/>
        </w:trPr>
        <w:tc>
          <w:tcPr>
            <w:tcW w:w="3060" w:type="dxa"/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15954816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руб., в том числе по годам реализации:</w:t>
            </w:r>
          </w:p>
          <w:p w:rsidR="007B3FC5" w:rsidRPr="0067097C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2904101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руб.,</w:t>
            </w:r>
          </w:p>
          <w:p w:rsidR="00667689" w:rsidRPr="0067097C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1618703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руб.,</w:t>
            </w:r>
          </w:p>
          <w:p w:rsidR="00667689" w:rsidRPr="0067097C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2720003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руб.,</w:t>
            </w:r>
          </w:p>
          <w:p w:rsidR="00667689" w:rsidRPr="0067097C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2904003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руб.,</w:t>
            </w:r>
          </w:p>
          <w:p w:rsidR="00667689" w:rsidRPr="0067097C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2904003 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руб.,</w:t>
            </w:r>
          </w:p>
          <w:p w:rsidR="00667689" w:rsidRPr="0067097C" w:rsidRDefault="00667689" w:rsidP="00E84E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–   </w:t>
            </w:r>
            <w:r w:rsidR="00E84E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2904003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67689" w:rsidRPr="0067097C" w:rsidTr="00A2413F">
        <w:trPr>
          <w:trHeight w:val="20"/>
        </w:trPr>
        <w:tc>
          <w:tcPr>
            <w:tcW w:w="3060" w:type="dxa"/>
          </w:tcPr>
          <w:p w:rsidR="00667689" w:rsidRPr="0067097C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подпрограммы к 202</w:t>
            </w:r>
            <w:r w:rsidR="007B3FC5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позволит:</w:t>
            </w:r>
          </w:p>
          <w:p w:rsidR="00667689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кв.м.</w:t>
            </w:r>
          </w:p>
          <w:p w:rsidR="00667689" w:rsidRPr="0067097C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увеличить  протяженность освещен</w:t>
            </w:r>
            <w:r w:rsidR="00B95F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 частей улиц, проездов, до </w:t>
            </w:r>
            <w:r w:rsidR="00C13E5E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95F32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13E5E"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</w:t>
            </w:r>
            <w:r w:rsidRPr="00670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Краткая характеристика сферы реализации подпрограммы, описание основных проблем и рисков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Одним из направлений устойчивого развития территории сельского поселения Демшинский сельсовет является повышение уровня и качества жизни сельского населения, которое включает в себя комплекс мероприятий по социальному обустройству и развитию социальной и инженерной инфраструктуры сельского поселения.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667689" w:rsidRPr="0067097C" w:rsidRDefault="000C7500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же время в вопросах благоустройства территории поселения имеется ряд проблем.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благоустройства территории является одной из самых насущных, требующих каждодневного внимания и эффективного решения. Важна четкая согласованность действий администрации и предприятий, обеспечивающих жизнедеятельность поселения и занимающихся благоустройством территории.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объектов внешнего благоустройства населенных пунктов, такие как дороги, уличное освещение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Протяженность автомобильных дорог сельского поселения составляет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14.3 км</w:t>
      </w:r>
      <w:proofErr w:type="gramStart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с твердым покрытием </w:t>
      </w:r>
      <w:r w:rsidR="00BD5B3C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 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км. Удельный вес автомобильных дорог с твердым покрытием в общей протяженности автомобильных дорог составляет </w:t>
      </w:r>
      <w:r w:rsidR="00BD5B3C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%. Из 5населенных пунктов, находящихся на территории сельского поселения 1 не полностью имеет дороги с твердым покрытием.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</w:t>
      </w:r>
      <w:r w:rsidR="00216518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на приведение в нормативное состояние улично-дорожной сети было выделено </w:t>
      </w:r>
      <w:r w:rsidR="00216518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1293,043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руб., в том числе из </w:t>
      </w:r>
      <w:r w:rsidR="00216518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районного бюджета 938,0</w:t>
      </w:r>
      <w:r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</w:t>
      </w:r>
      <w:r w:rsidR="00BD5B3C" w:rsidRPr="00670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Очевидной проблемой сельского поселения на протяжении последних лет является состояние дорог. Основные причины – рост числа машин и хроническая нехватка средств на ремонт. По предварительным подсчетам,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половина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 с твердым покрытием нуждается либо в капитальном ремонте, либо в реконструкции.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Наружное освещение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Сети наружного освещения автодорог по улицам насе</w:t>
      </w:r>
      <w:r w:rsidR="000C7500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пунктов включают в себя 109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светильников. Проводятся работы по текущему ремонту линий. Однако требуется произвести реконструкцию освещения и по другим улицам поселения.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</w:t>
      </w:r>
      <w:r w:rsidR="000C7500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населенных пунктов поселения включает в себя содержание тротуаров, озеленение, обустройство детскими игровыми площадками и др. Благоустройством занимается администрация </w:t>
      </w:r>
      <w:r w:rsidR="000C7500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сложившемся положении необходимо продолжать благоустройство тротуаров, новое строительство детских игровых площадок с установкой малых архитектурных форм, освещение улиц, текущий ремонт, установка урн, скамеек. 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прочим мероприятиям по благоустройству поселения относятся такие работы, как вывоз твердых бытовых отходов, обустройство остановок, выпиловка деревьев, подметание площадей, окашивание территории сельского поселения, очистка дорог от снега и т.д.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недостаточным выделением средств на поддержку мероприятий по развитию и модернизации объектов благоустройства на территории сельского поселения;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Демшинский  сельсовет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Задачи, показатели задач подпрограммы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1.Модернизация дорожной и коммунальной инфраструктуры 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Модернизация дорожной и коммунальной инфраструктуры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данной задачи </w:t>
      </w:r>
      <w:proofErr w:type="gramStart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</w:t>
      </w:r>
      <w:proofErr w:type="gramEnd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показателями решения данной задачи: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A1E4C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Сроки и этапы реализации подпрограммы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подпрограммы  охватывает период 201</w:t>
      </w:r>
      <w:r w:rsidR="001E3845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A1E4C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без выделения этапов. 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3A1E4C" w:rsidRPr="0067097C" w:rsidRDefault="00A2413F" w:rsidP="003A1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A47A8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="00CC70E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A47A8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1 «Текущие расходы на содержание, реконструкцию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поддержание в рабочем состоянии системы уличного освещения сельского поселения»</w:t>
      </w:r>
    </w:p>
    <w:p w:rsidR="00A2413F" w:rsidRPr="0067097C" w:rsidRDefault="00A2413F" w:rsidP="003A1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Основное мероприятие </w:t>
      </w:r>
      <w:r w:rsidR="00CC70E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1 «Прочие мероприятия по благоустройству сельского поселения».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E84E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15954816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 том числе по годам реализации: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 2904101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 1618703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2720003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E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2904003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E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2904003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667689" w:rsidRPr="0067097C" w:rsidRDefault="00A2413F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E32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2904003</w:t>
      </w:r>
      <w:r w:rsidR="00667689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67097C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CC70E2" w:rsidRPr="0067097C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0E2" w:rsidRPr="0067097C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633" w:rsidRPr="0067097C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 «Развитие социальной сферы на территории сельского поселения Демшинский сельсовет »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A2413F" w:rsidRPr="0067097C" w:rsidTr="00A2413F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7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13F" w:rsidRPr="0067097C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1.Количество мероприятий, проводимых культурно-</w:t>
            </w:r>
            <w:r w:rsidR="00CC66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досуговыми учреждениями.</w:t>
            </w:r>
          </w:p>
          <w:p w:rsidR="00CC6647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и проведение мероприятий, направленных на развитие культуры сельского поселения»</w:t>
            </w:r>
          </w:p>
        </w:tc>
      </w:tr>
      <w:tr w:rsidR="00A2413F" w:rsidRPr="0067097C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67097C" w:rsidRDefault="00A2413F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3845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</w:t>
            </w:r>
            <w:r w:rsidR="00CC66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A2413F" w:rsidRPr="0067097C" w:rsidTr="00A2413F">
        <w:trPr>
          <w:trHeight w:val="20"/>
        </w:trPr>
        <w:tc>
          <w:tcPr>
            <w:tcW w:w="3060" w:type="dxa"/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435847" w:rsidRPr="00670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9900072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 реализации: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1650012 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1650012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1650012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1650012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1650012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A2413F" w:rsidRPr="0067097C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1650012</w:t>
            </w:r>
            <w:r w:rsidR="00A2413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A2413F" w:rsidRPr="0067097C" w:rsidTr="00A2413F">
        <w:trPr>
          <w:trHeight w:val="20"/>
        </w:trPr>
        <w:tc>
          <w:tcPr>
            <w:tcW w:w="3060" w:type="dxa"/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подпрог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позволит обеспечить к 2024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году:</w:t>
            </w:r>
          </w:p>
          <w:p w:rsidR="00A2413F" w:rsidRPr="0067097C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нду здорового образа жизни до 60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A2413F" w:rsidRPr="0067097C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</w:tbl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Краткая характеристика сферы реализации подпрограммы, описание основных проблем и рисков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сельских поселений имеется 1 спортивный зал общеобразовательной школы, одно </w:t>
      </w:r>
      <w:proofErr w:type="spellStart"/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плосткостное</w:t>
      </w:r>
      <w:proofErr w:type="spellEnd"/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спортивное сооружение площадью 5 188 кв.м.</w:t>
      </w:r>
      <w:r w:rsidR="00BD5B3C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 тренажерный зал, установлены уличные тренажеры, оборудована хоккейная коробка</w:t>
      </w:r>
      <w:proofErr w:type="gramStart"/>
      <w:r w:rsidR="00BD5B3C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спортом занимается </w:t>
      </w:r>
      <w:r w:rsidR="00BD5B3C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</w:t>
      </w:r>
      <w:r w:rsidR="00BD5B3C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жителей, из них молодежи – 61</w:t>
      </w: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культурно-досуговые</w:t>
      </w:r>
      <w:proofErr w:type="spell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библиотечные услуги населению оказывает одна библиотека и один ДК.  Ежегодно для жителей села проводится около 80 мероприятий.  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67097C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коллектив клуба и отдельные исполнители принимали акт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участие в районных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творчества.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67097C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Задачи, показатели задач подпрограммы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Подпрограммы являются: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творческого потенциала сельского поселения.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жителей поселения  к регулярным занятиям физической культурой и спортом.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 здорового образа жизни,  60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Поддержка и развитие творческого потенциала  сельского поселения. </w:t>
      </w:r>
      <w:proofErr w:type="gram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  <w:proofErr w:type="gramEnd"/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проводимых культ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урно-досуговыми учреждениями,202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67097C" w:rsidRP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Сроки и этапы реализации подпрограммы</w:t>
      </w:r>
    </w:p>
    <w:p w:rsidR="0067097C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с 201</w:t>
      </w:r>
      <w:r w:rsidR="001E3845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7097C" w:rsidRP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 1 подпрограммы 2 « Создание условий и проведение мероприятий, направленных на развитие физической культуры и массового спорта на территории сельского поселения».</w:t>
      </w:r>
    </w:p>
    <w:p w:rsidR="00C007EB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2 подпрограммы 2 «Создание условий и проведение мероприятий, направленных на развитие культуры сельского поселения»</w:t>
      </w: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9900072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1650012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1650012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1650012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1650012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A2413F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1650012 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1650012</w:t>
      </w:r>
      <w:r w:rsidR="00A2413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2413F" w:rsidRPr="0067097C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41CF0" w:rsidRPr="0067097C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B" w:rsidRPr="0067097C" w:rsidRDefault="00C007EB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Pr="0067097C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3 «Обеспечение безопасности человека и природной среды на территории сельского поселения Демшинский сельсовет »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3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435847" w:rsidRPr="0067097C" w:rsidTr="00A31096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435847" w:rsidRPr="0067097C" w:rsidRDefault="00435847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435847" w:rsidRPr="0067097C" w:rsidRDefault="00435847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C007EB" w:rsidRPr="0067097C" w:rsidTr="00A31096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67097C" w:rsidTr="00A3109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Количество ежегодно информируемого населения сельского поселения о безопасности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proofErr w:type="spellEnd"/>
          </w:p>
        </w:tc>
      </w:tr>
      <w:tr w:rsidR="00C007EB" w:rsidRPr="0067097C" w:rsidTr="00A3109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67097C" w:rsidRDefault="00C007EB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3845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2024 годы.</w:t>
            </w:r>
          </w:p>
        </w:tc>
      </w:tr>
      <w:tr w:rsidR="00C007EB" w:rsidRPr="0067097C" w:rsidTr="00A31096">
        <w:trPr>
          <w:trHeight w:val="20"/>
        </w:trPr>
        <w:tc>
          <w:tcPr>
            <w:tcW w:w="3060" w:type="dxa"/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 реализации: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– </w:t>
            </w:r>
            <w:r w:rsidR="00435847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C007EB" w:rsidRPr="0067097C" w:rsidTr="00A31096">
        <w:trPr>
          <w:trHeight w:val="20"/>
        </w:trPr>
        <w:tc>
          <w:tcPr>
            <w:tcW w:w="3060" w:type="dxa"/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к 202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позволит: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67097C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I. Краткая характеристика сферы реализации подпрограммы, описание основных проблем и рисков в указанной сфере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пассивное отношение граждан в решении вопросов чрезвычайных ситуаций </w:t>
      </w:r>
      <w:proofErr w:type="gram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пожарной безопасностью, обильными снегопадами, половодьем и дождевыми паводками и др.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Сроки и этапы реализации подпрограммы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с 201</w:t>
      </w:r>
      <w:r w:rsidR="001E3845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планируется осуществление следующих основных мероприятий: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1 Подпрограммы 3 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первичных мер </w:t>
      </w:r>
      <w:r w:rsidR="00435847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для защиты населения»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67097C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1000</w:t>
      </w:r>
      <w:r w:rsidR="00C007EB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007EB" w:rsidRPr="0067097C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C" w:rsidRPr="0067097C" w:rsidRDefault="0067097C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67097C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4" w:rsidRPr="0067097C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4 «Обеспечение  реализации  муниципальной политики на территории сельского поселения Демшинский сельсовет »       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4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513D2F" w:rsidRPr="0067097C" w:rsidTr="00216518">
        <w:trPr>
          <w:trHeight w:val="1167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13D2F" w:rsidRPr="0067097C" w:rsidRDefault="00513D2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13D2F" w:rsidRPr="0067097C" w:rsidRDefault="00513D2F" w:rsidP="0021651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Демшинский сельсовет </w:t>
            </w:r>
          </w:p>
        </w:tc>
      </w:tr>
      <w:tr w:rsidR="00D41CF0" w:rsidRPr="0067097C" w:rsidTr="00216518">
        <w:trPr>
          <w:trHeight w:val="1167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67097C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1CF0" w:rsidRPr="0067097C" w:rsidTr="00A3109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CF0" w:rsidRPr="0067097C" w:rsidTr="00A3109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67097C" w:rsidRDefault="00D41CF0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3845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491EA4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D41CF0" w:rsidRPr="0067097C" w:rsidTr="00A31096">
        <w:trPr>
          <w:trHeight w:val="20"/>
        </w:trPr>
        <w:tc>
          <w:tcPr>
            <w:tcW w:w="3060" w:type="dxa"/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476820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 реализации: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руб.,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13D2F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D41CF0" w:rsidRPr="0067097C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="001C44ED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79470</w:t>
            </w:r>
            <w:r w:rsidR="00D41CF0"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41CF0" w:rsidRPr="0067097C" w:rsidTr="00A31096">
        <w:trPr>
          <w:trHeight w:val="20"/>
        </w:trPr>
        <w:tc>
          <w:tcPr>
            <w:tcW w:w="3060" w:type="dxa"/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</w:t>
            </w:r>
            <w:r w:rsidRPr="0067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100 %,</w:t>
            </w:r>
          </w:p>
          <w:p w:rsidR="00D41CF0" w:rsidRPr="0067097C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Краткая характеристика сферы реализации подпрограммы, описание основных проблем и рисков в указанной сфере.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</w:t>
      </w:r>
      <w:proofErr w:type="gram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настоящее время актуальным становиться внедрение в сферу деятельности информационных услуг и </w:t>
      </w:r>
      <w:proofErr w:type="gram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 как </w:t>
      </w:r>
      <w:proofErr w:type="spell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Задачи, показатели задач подпрограммы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направлена на повышение </w:t>
      </w:r>
      <w:proofErr w:type="gram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деятельности органов  местного самоуправления сельского поселения</w:t>
      </w:r>
      <w:proofErr w:type="gram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 сельсовет, посредством выполнения следующих задач: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67097C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данных задач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 решения задач являются: 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100 %.</w:t>
      </w:r>
    </w:p>
    <w:p w:rsidR="0067097C" w:rsidRDefault="0067097C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Сроки и этапы реализации подпрограммы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с 201</w:t>
      </w:r>
      <w:r w:rsidR="001E3845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491EA4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7097C" w:rsidRDefault="0067097C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41CF0" w:rsidRPr="0067097C" w:rsidRDefault="00491EA4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Основное мероприятие 1 подпрограммы 4 «Приобретение услуг по сопровождению сетевого программного обеспечения по электронному ведению </w:t>
      </w:r>
      <w:proofErr w:type="spellStart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учета».</w:t>
      </w:r>
    </w:p>
    <w:p w:rsidR="0054053E" w:rsidRPr="0067097C" w:rsidRDefault="0054053E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Основное мероприятие 2 подпрограммы 4 «</w:t>
      </w:r>
      <w:r w:rsidR="006F4892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членские взносы в ассоциацию «Совета муниципальных образований»».</w:t>
      </w:r>
    </w:p>
    <w:p w:rsidR="006F4892" w:rsidRPr="0067097C" w:rsidRDefault="006F4892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Основное мероприятие </w:t>
      </w:r>
      <w:r w:rsidR="00164346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4 «Приобретение информационных услуг с использованием информационно-справочных систем».</w:t>
      </w:r>
    </w:p>
    <w:p w:rsidR="00697F80" w:rsidRPr="0067097C" w:rsidRDefault="00A16E42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</w:t>
      </w:r>
      <w:r w:rsidR="00164346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7F8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4 «Пенсионное обеспечение муниципальных служащих поселения»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V. Обоснование объема финансовых ресурсов, необходимых для реализации подпрограммы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476820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79470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79470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79470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79470</w:t>
      </w:r>
      <w:r w:rsidR="00513D2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79470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41CF0" w:rsidRPr="0067097C" w:rsidRDefault="00697F8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C44ED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79470</w:t>
      </w:r>
      <w:r w:rsidR="00513D2F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F0"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D41CF0" w:rsidRPr="0067097C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F2E35" w:rsidRPr="0067097C" w:rsidRDefault="009F2E35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43" w:rsidRPr="0067097C" w:rsidRDefault="00164346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1</w:t>
      </w:r>
      <w:r w:rsidR="00127143" w:rsidRPr="0067097C">
        <w:rPr>
          <w:rFonts w:ascii="Times New Roman" w:hAnsi="Times New Roman" w:cs="Times New Roman"/>
          <w:b/>
          <w:sz w:val="28"/>
          <w:szCs w:val="28"/>
        </w:rPr>
        <w:t>. Приобретение информационных услуг с использованием информационно-правовых систем.</w:t>
      </w:r>
    </w:p>
    <w:p w:rsidR="00127143" w:rsidRPr="0067097C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709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7097C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1E3845" w:rsidRPr="0067097C" w:rsidTr="001E384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E3845" w:rsidRPr="0067097C" w:rsidTr="001E384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845" w:rsidRPr="0067097C" w:rsidTr="001E384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67097C" w:rsidRDefault="00127143" w:rsidP="009F2E35">
      <w:pPr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6709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97C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67097C" w:rsidRDefault="00164346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2</w:t>
      </w:r>
      <w:r w:rsidR="00127143" w:rsidRPr="0067097C">
        <w:rPr>
          <w:rFonts w:ascii="Times New Roman" w:hAnsi="Times New Roman" w:cs="Times New Roman"/>
          <w:b/>
          <w:sz w:val="28"/>
          <w:szCs w:val="28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="00127143" w:rsidRPr="0067097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="00127143" w:rsidRPr="0067097C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67097C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709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7097C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1E3845" w:rsidRPr="0067097C" w:rsidTr="001E384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E3845" w:rsidRPr="0067097C" w:rsidTr="001E384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845" w:rsidRPr="0067097C" w:rsidTr="001E384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845" w:rsidRPr="0067097C" w:rsidRDefault="001E3845" w:rsidP="00EF39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45" w:rsidRPr="0067097C" w:rsidRDefault="001E3845" w:rsidP="00EF39C8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67097C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67097C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6F04F5" w:rsidRPr="0067097C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67097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67097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14C29" w:rsidRPr="0067097C" w:rsidRDefault="00E14C29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E14C29" w:rsidRPr="0067097C" w:rsidSect="00E14C29">
          <w:footerReference w:type="even" r:id="rId10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1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к </w:t>
      </w:r>
      <w:r w:rsidR="001101B4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муниципальной программе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A31096" w:rsidRPr="0067097C" w:rsidRDefault="002347FB" w:rsidP="00110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на </w:t>
      </w:r>
      <w:r w:rsidR="00216518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2019</w:t>
      </w: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-202</w:t>
      </w:r>
      <w:r w:rsidR="00216518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4</w:t>
      </w:r>
      <w:r w:rsidR="001101B4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A31096" w:rsidRPr="0067097C" w:rsidRDefault="00A3109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D444E5" w:rsidRPr="0067097C" w:rsidRDefault="001101B4" w:rsidP="00A25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</w:t>
      </w:r>
      <w:r w:rsidR="00A2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2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</w:t>
      </w:r>
      <w:r w:rsidR="00A2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Демшинский сельсовет</w:t>
      </w:r>
      <w:r w:rsidR="00A2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708"/>
        <w:gridCol w:w="142"/>
        <w:gridCol w:w="851"/>
        <w:gridCol w:w="141"/>
        <w:gridCol w:w="993"/>
        <w:gridCol w:w="992"/>
        <w:gridCol w:w="1134"/>
        <w:gridCol w:w="992"/>
        <w:gridCol w:w="992"/>
      </w:tblGrid>
      <w:tr w:rsidR="0062671A" w:rsidRPr="0067097C" w:rsidTr="002E5B37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368"/>
            <w:bookmarkEnd w:id="0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671A" w:rsidRPr="0067097C" w:rsidTr="002E5B37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1A" w:rsidRPr="0067097C" w:rsidRDefault="0062671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1A" w:rsidRPr="0067097C" w:rsidRDefault="0062671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1A" w:rsidRPr="0067097C" w:rsidRDefault="0062671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1A" w:rsidRPr="0067097C" w:rsidRDefault="0062671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2671A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A" w:rsidRPr="0067097C" w:rsidRDefault="0062671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2DA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A" w:rsidRPr="0067097C" w:rsidRDefault="00F81335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A" w:rsidRPr="0067097C" w:rsidRDefault="00EC72D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54211B" w:rsidRPr="0067097C" w:rsidRDefault="0054211B" w:rsidP="0054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54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54211B" w:rsidRPr="0067097C" w:rsidRDefault="0054211B" w:rsidP="0054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101B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47FD6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101B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F8133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Обеспечение населения качественной, развитой инфраструктурой и повышение уровня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благоустройства  территории сельского поселения Демшинский  сельсовет.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CD7FD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6ED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ED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1266ED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C13E5E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54211B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  <w:r w:rsidR="001266ED"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B" w:rsidRPr="0067097C" w:rsidRDefault="0054211B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B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1266ED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D" w:rsidRPr="0067097C" w:rsidRDefault="001266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  <w:r w:rsidR="00F1432E"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Подпрограммы 1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Обеспечение проведения  мероприятий по благоустройству территории  поселения</w:t>
            </w:r>
          </w:p>
        </w:tc>
      </w:tr>
      <w:tr w:rsidR="00414275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14275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F1432E"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1032"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1 </w:t>
            </w:r>
            <w:r w:rsidR="00F31032"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="00F31032"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41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2E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</w:t>
            </w:r>
            <w:r w:rsidR="002E5B37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2E5B37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7" w:rsidRPr="0067097C" w:rsidRDefault="002E5B37" w:rsidP="00AA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 w:rsidR="00F1432E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2E5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2687817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1402419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</w:tr>
      <w:tr w:rsidR="002E5B37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1618703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2E5B37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C13E5E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C13E5E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7" w:rsidRPr="0067097C" w:rsidRDefault="00C13E5E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2904000</w:t>
            </w:r>
          </w:p>
        </w:tc>
      </w:tr>
      <w:tr w:rsidR="003F5E98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8" w:rsidRPr="0067097C" w:rsidRDefault="003F5E98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8" w:rsidRPr="0067097C" w:rsidRDefault="003F5E98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2E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F1432E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1432E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A162C" w:rsidRPr="0067097C" w:rsidTr="002E5B3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C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C" w:rsidRPr="0067097C" w:rsidRDefault="00AA162C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F1432E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F1432E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E" w:rsidRPr="0067097C" w:rsidRDefault="00F1432E" w:rsidP="00F1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F1432E" w:rsidRPr="0067097C" w:rsidRDefault="00F1432E" w:rsidP="00F14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направленных на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F1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E" w:rsidRPr="0067097C" w:rsidRDefault="00F1432E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14275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F1432E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5" w:rsidRPr="0067097C" w:rsidRDefault="00414275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15AD4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015AD4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01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15AD4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D4" w:rsidRPr="0067097C" w:rsidRDefault="00015AD4" w:rsidP="0001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1задачи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7097C" w:rsidRDefault="00015AD4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1600012</w:t>
            </w:r>
          </w:p>
        </w:tc>
      </w:tr>
      <w:tr w:rsidR="00AB1613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1650012</w:t>
            </w:r>
          </w:p>
        </w:tc>
      </w:tr>
      <w:tr w:rsidR="00AB1613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13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AB1613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AB1613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A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AB1613" w:rsidRPr="0067097C" w:rsidRDefault="00AB1613" w:rsidP="00A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AB1613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AB1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AB1613" w:rsidRPr="0067097C" w:rsidRDefault="00AB1613" w:rsidP="00A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3" w:rsidRPr="0067097C" w:rsidRDefault="00AB1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F7D04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F7D04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04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9F7D04" w:rsidRPr="0067097C" w:rsidTr="00015AD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7D04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1101B4" w:rsidP="00110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67097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9F7D04" w:rsidRPr="0067097C" w:rsidTr="00513D2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9F7D0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1. Подпрограммы 4 «Повышение эффективности и результативности деятельности органов местного самоуправления»</w:t>
            </w:r>
          </w:p>
          <w:p w:rsidR="009F7D04" w:rsidRPr="0067097C" w:rsidRDefault="009F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04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04" w:rsidRPr="0067097C" w:rsidRDefault="009F7D0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4" w:rsidRPr="0067097C" w:rsidRDefault="009F7D04" w:rsidP="0051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49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похозяйственного</w:t>
            </w:r>
            <w:proofErr w:type="spellEnd"/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F06F49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F06F49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9" w:rsidRPr="0067097C" w:rsidRDefault="00F06F49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</w:tr>
      <w:tr w:rsidR="00513D2F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 w:rsidP="00513D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F" w:rsidRPr="0067097C" w:rsidRDefault="00513D2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1C44ED" w:rsidRPr="0067097C" w:rsidTr="00F06F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D" w:rsidRPr="0067097C" w:rsidRDefault="001C44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D" w:rsidRPr="0067097C" w:rsidRDefault="001C44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D" w:rsidRPr="0067097C" w:rsidRDefault="001C44ED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D" w:rsidRPr="0067097C" w:rsidRDefault="001C44ED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ED" w:rsidRPr="0067097C" w:rsidRDefault="001C44E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79470</w:t>
            </w:r>
          </w:p>
        </w:tc>
      </w:tr>
      <w:tr w:rsidR="00A3696A" w:rsidRPr="0067097C" w:rsidTr="00F06F49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4634583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3349185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4450485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</w:tr>
      <w:tr w:rsidR="00A3696A" w:rsidRPr="0067097C" w:rsidTr="00F06F49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6A" w:rsidRPr="0067097C" w:rsidRDefault="00A3696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6A" w:rsidRPr="0067097C" w:rsidRDefault="00A3696A" w:rsidP="0062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A" w:rsidRPr="0067097C" w:rsidRDefault="00A3696A" w:rsidP="00626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4634583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51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3349185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4450485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A" w:rsidRPr="0067097C" w:rsidRDefault="00A3696A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</w:tr>
    </w:tbl>
    <w:p w:rsidR="00425C65" w:rsidRPr="0067097C" w:rsidRDefault="00425C65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6386B" w:rsidRPr="0067097C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2561D" w:rsidRDefault="00425C65" w:rsidP="0042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47FB" w:rsidRPr="0067097C" w:rsidRDefault="00425C65" w:rsidP="00A2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к  </w:t>
      </w:r>
      <w:r w:rsidR="00425C65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муниципальной  программе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67097C" w:rsidRDefault="00425C6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</w:t>
      </w:r>
      <w:r w:rsidR="002347FB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A2561D" w:rsidRDefault="001101B4" w:rsidP="00A2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</w:t>
      </w:r>
      <w:r w:rsidR="00A2561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реализацию муниципальной программы </w:t>
      </w:r>
      <w:r w:rsidR="002347FB"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«Устойчивое развитие территории сельского поселения Демшинск</w:t>
      </w:r>
      <w:r w:rsidR="002E4CA0"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="00425C65"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2019-2024</w:t>
      </w:r>
      <w:r w:rsidR="002347FB"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годы»</w:t>
      </w:r>
      <w:r w:rsidR="002347FB"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76"/>
        <w:gridCol w:w="1231"/>
        <w:gridCol w:w="1215"/>
        <w:gridCol w:w="1215"/>
        <w:gridCol w:w="1215"/>
        <w:gridCol w:w="1229"/>
      </w:tblGrid>
      <w:tr w:rsidR="00A2561D" w:rsidRPr="0067097C" w:rsidTr="00A12E5C">
        <w:trPr>
          <w:trHeight w:val="828"/>
        </w:trPr>
        <w:tc>
          <w:tcPr>
            <w:tcW w:w="577" w:type="dxa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418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1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A2561D" w:rsidRPr="0067097C" w:rsidRDefault="00A2561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973C1" w:rsidRPr="0067097C" w:rsidTr="00A2561D">
        <w:trPr>
          <w:trHeight w:val="20"/>
        </w:trPr>
        <w:tc>
          <w:tcPr>
            <w:tcW w:w="577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4AA6" w:rsidRPr="0067097C" w:rsidTr="00A2561D">
        <w:trPr>
          <w:trHeight w:val="20"/>
        </w:trPr>
        <w:tc>
          <w:tcPr>
            <w:tcW w:w="577" w:type="dxa"/>
            <w:vMerge w:val="restart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D74AA6" w:rsidRPr="0067097C" w:rsidRDefault="00D74AA6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74AA6" w:rsidRPr="0067097C" w:rsidRDefault="00D74AA6" w:rsidP="003E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27051008</w:t>
            </w:r>
          </w:p>
        </w:tc>
        <w:tc>
          <w:tcPr>
            <w:tcW w:w="1276" w:type="dxa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5347883</w:t>
            </w:r>
          </w:p>
        </w:tc>
        <w:tc>
          <w:tcPr>
            <w:tcW w:w="1231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3349185</w:t>
            </w:r>
          </w:p>
        </w:tc>
        <w:tc>
          <w:tcPr>
            <w:tcW w:w="1215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4450485</w:t>
            </w:r>
          </w:p>
        </w:tc>
        <w:tc>
          <w:tcPr>
            <w:tcW w:w="1215" w:type="dxa"/>
          </w:tcPr>
          <w:p w:rsidR="00D74AA6" w:rsidRPr="0067097C" w:rsidRDefault="00D74AA6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1215" w:type="dxa"/>
          </w:tcPr>
          <w:p w:rsidR="00D74AA6" w:rsidRPr="0067097C" w:rsidRDefault="00D74AA6" w:rsidP="0067097C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1229" w:type="dxa"/>
          </w:tcPr>
          <w:p w:rsidR="00D74AA6" w:rsidRPr="0067097C" w:rsidRDefault="00D74AA6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</w:tr>
      <w:tr w:rsidR="006973C1" w:rsidRPr="0067097C" w:rsidTr="00A2561D">
        <w:trPr>
          <w:trHeight w:val="20"/>
        </w:trPr>
        <w:tc>
          <w:tcPr>
            <w:tcW w:w="577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6973C1" w:rsidRPr="0067097C" w:rsidRDefault="006973C1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3C1" w:rsidRPr="0067097C" w:rsidTr="00A2561D">
        <w:trPr>
          <w:trHeight w:val="20"/>
        </w:trPr>
        <w:tc>
          <w:tcPr>
            <w:tcW w:w="577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6973C1" w:rsidRPr="0067097C" w:rsidRDefault="006973C1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8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3C1" w:rsidRPr="0067097C" w:rsidTr="00A2561D">
        <w:trPr>
          <w:trHeight w:val="20"/>
        </w:trPr>
        <w:tc>
          <w:tcPr>
            <w:tcW w:w="577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6973C1" w:rsidRPr="0067097C" w:rsidRDefault="006973C1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6973C1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713300</w:t>
            </w:r>
          </w:p>
        </w:tc>
        <w:tc>
          <w:tcPr>
            <w:tcW w:w="1276" w:type="dxa"/>
          </w:tcPr>
          <w:p w:rsidR="006973C1" w:rsidRPr="00D74AA6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D74AA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713300</w:t>
            </w:r>
          </w:p>
        </w:tc>
        <w:tc>
          <w:tcPr>
            <w:tcW w:w="1231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42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973C1" w:rsidRPr="0067097C" w:rsidRDefault="006973C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E5E" w:rsidRPr="0067097C" w:rsidTr="00A2561D">
        <w:trPr>
          <w:trHeight w:val="20"/>
        </w:trPr>
        <w:tc>
          <w:tcPr>
            <w:tcW w:w="577" w:type="dxa"/>
            <w:vMerge/>
          </w:tcPr>
          <w:p w:rsidR="00C13E5E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C13E5E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C13E5E" w:rsidRPr="0067097C" w:rsidRDefault="00C13E5E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C13E5E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26337708</w:t>
            </w:r>
          </w:p>
        </w:tc>
        <w:tc>
          <w:tcPr>
            <w:tcW w:w="1276" w:type="dxa"/>
          </w:tcPr>
          <w:p w:rsidR="00C13E5E" w:rsidRPr="0067097C" w:rsidRDefault="00C13E5E" w:rsidP="001C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4634583</w:t>
            </w:r>
          </w:p>
        </w:tc>
        <w:tc>
          <w:tcPr>
            <w:tcW w:w="1231" w:type="dxa"/>
          </w:tcPr>
          <w:p w:rsidR="00C13E5E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3349185</w:t>
            </w:r>
          </w:p>
        </w:tc>
        <w:tc>
          <w:tcPr>
            <w:tcW w:w="1215" w:type="dxa"/>
          </w:tcPr>
          <w:p w:rsidR="00C13E5E" w:rsidRPr="0067097C" w:rsidRDefault="00C13E5E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4450485</w:t>
            </w:r>
          </w:p>
        </w:tc>
        <w:tc>
          <w:tcPr>
            <w:tcW w:w="1215" w:type="dxa"/>
          </w:tcPr>
          <w:p w:rsidR="00C13E5E" w:rsidRPr="0067097C" w:rsidRDefault="00C13E5E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1215" w:type="dxa"/>
          </w:tcPr>
          <w:p w:rsidR="00C13E5E" w:rsidRPr="0067097C" w:rsidRDefault="00C13E5E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  <w:tc>
          <w:tcPr>
            <w:tcW w:w="1229" w:type="dxa"/>
          </w:tcPr>
          <w:p w:rsidR="00C13E5E" w:rsidRPr="0067097C" w:rsidRDefault="00C13E5E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4634485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внебюджетных фондов, средства государственных корпораций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A6" w:rsidRPr="0067097C" w:rsidTr="00A2561D">
        <w:trPr>
          <w:trHeight w:val="20"/>
        </w:trPr>
        <w:tc>
          <w:tcPr>
            <w:tcW w:w="577" w:type="dxa"/>
            <w:vMerge w:val="restart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Демшинский сельсовет» </w:t>
            </w:r>
          </w:p>
        </w:tc>
        <w:tc>
          <w:tcPr>
            <w:tcW w:w="1978" w:type="dxa"/>
          </w:tcPr>
          <w:p w:rsidR="00D74AA6" w:rsidRPr="0067097C" w:rsidRDefault="00D74AA6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16668116</w:t>
            </w:r>
          </w:p>
        </w:tc>
        <w:tc>
          <w:tcPr>
            <w:tcW w:w="1276" w:type="dxa"/>
          </w:tcPr>
          <w:p w:rsidR="00D74AA6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3617401</w:t>
            </w:r>
          </w:p>
        </w:tc>
        <w:tc>
          <w:tcPr>
            <w:tcW w:w="1231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1618703</w:t>
            </w:r>
          </w:p>
        </w:tc>
        <w:tc>
          <w:tcPr>
            <w:tcW w:w="1215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2720003</w:t>
            </w:r>
          </w:p>
        </w:tc>
        <w:tc>
          <w:tcPr>
            <w:tcW w:w="1215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</w:tc>
        <w:tc>
          <w:tcPr>
            <w:tcW w:w="1215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74AA6" w:rsidRPr="0067097C" w:rsidRDefault="00D74AA6" w:rsidP="00A1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1C44ED" w:rsidRPr="0067097C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713300</w:t>
            </w:r>
          </w:p>
        </w:tc>
        <w:tc>
          <w:tcPr>
            <w:tcW w:w="1276" w:type="dxa"/>
          </w:tcPr>
          <w:p w:rsidR="001C44ED" w:rsidRPr="00D74AA6" w:rsidRDefault="00D74AA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D74AA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713300</w:t>
            </w: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1C44ED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15954816</w:t>
            </w: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2904101</w:t>
            </w: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1618703</w:t>
            </w: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2720003</w:t>
            </w:r>
          </w:p>
        </w:tc>
        <w:tc>
          <w:tcPr>
            <w:tcW w:w="1215" w:type="dxa"/>
          </w:tcPr>
          <w:p w:rsidR="001C44ED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</w:tc>
        <w:tc>
          <w:tcPr>
            <w:tcW w:w="1215" w:type="dxa"/>
          </w:tcPr>
          <w:p w:rsidR="001C44ED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C13E5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 w:val="restart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3" w:type="dxa"/>
            <w:vMerge w:val="restart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сельсовет»</w:t>
            </w: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9900072</w:t>
            </w:r>
          </w:p>
        </w:tc>
        <w:tc>
          <w:tcPr>
            <w:tcW w:w="1276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31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29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9900072</w:t>
            </w:r>
          </w:p>
        </w:tc>
        <w:tc>
          <w:tcPr>
            <w:tcW w:w="1276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31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1650012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 w:val="restart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безопасности человека и природной среды на территории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сельсовет»</w:t>
            </w: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1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 (областной бюджет)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 w:val="restart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1C44ED" w:rsidRPr="0067097C" w:rsidRDefault="001C44ED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 реализации  муниципальной политики на территории сельского поселения Демшинский сельсовет»</w:t>
            </w:r>
          </w:p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C44ED" w:rsidRPr="0067097C" w:rsidRDefault="001C44ED" w:rsidP="005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476820</w:t>
            </w:r>
          </w:p>
        </w:tc>
        <w:tc>
          <w:tcPr>
            <w:tcW w:w="1276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31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29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476820</w:t>
            </w:r>
          </w:p>
        </w:tc>
        <w:tc>
          <w:tcPr>
            <w:tcW w:w="1276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31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15" w:type="dxa"/>
          </w:tcPr>
          <w:p w:rsidR="001C44ED" w:rsidRPr="0067097C" w:rsidRDefault="001C44E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79470</w:t>
            </w:r>
          </w:p>
        </w:tc>
      </w:tr>
      <w:tr w:rsidR="001C44ED" w:rsidRPr="0067097C" w:rsidTr="00A2561D">
        <w:trPr>
          <w:trHeight w:val="20"/>
        </w:trPr>
        <w:tc>
          <w:tcPr>
            <w:tcW w:w="577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C44ED" w:rsidRPr="0067097C" w:rsidRDefault="001C44ED" w:rsidP="005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8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1C44ED" w:rsidRPr="0067097C" w:rsidRDefault="001C44E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67097C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67097C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3" w:rsidRDefault="00B52DE3" w:rsidP="00BD5956">
      <w:pPr>
        <w:spacing w:after="0" w:line="240" w:lineRule="auto"/>
      </w:pPr>
      <w:r>
        <w:separator/>
      </w:r>
    </w:p>
  </w:endnote>
  <w:endnote w:type="continuationSeparator" w:id="0">
    <w:p w:rsidR="00B52DE3" w:rsidRDefault="00B52DE3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D9" w:rsidRDefault="003F427D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90ED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0ED9" w:rsidRDefault="00690ED9" w:rsidP="00B63209">
    <w:pPr>
      <w:pStyle w:val="a3"/>
      <w:ind w:right="360"/>
    </w:pPr>
  </w:p>
  <w:p w:rsidR="00690ED9" w:rsidRDefault="00690E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3" w:rsidRDefault="00B52DE3" w:rsidP="00BD5956">
      <w:pPr>
        <w:spacing w:after="0" w:line="240" w:lineRule="auto"/>
      </w:pPr>
      <w:r>
        <w:separator/>
      </w:r>
    </w:p>
  </w:footnote>
  <w:footnote w:type="continuationSeparator" w:id="0">
    <w:p w:rsidR="00B52DE3" w:rsidRDefault="00B52DE3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9C43B7B"/>
    <w:multiLevelType w:val="hybridMultilevel"/>
    <w:tmpl w:val="46A44FEA"/>
    <w:lvl w:ilvl="0" w:tplc="3BDE177A">
      <w:start w:val="1"/>
      <w:numFmt w:val="decimal"/>
      <w:lvlText w:val="%1."/>
      <w:lvlJc w:val="left"/>
      <w:pPr>
        <w:ind w:left="642" w:hanging="500"/>
        <w:jc w:val="left"/>
      </w:pPr>
      <w:rPr>
        <w:rFonts w:ascii="Times New Roman" w:eastAsia="Arial" w:hAnsi="Times New Roman" w:cs="Times New Roman" w:hint="default"/>
        <w:spacing w:val="-32"/>
        <w:w w:val="100"/>
        <w:sz w:val="24"/>
        <w:szCs w:val="24"/>
      </w:rPr>
    </w:lvl>
    <w:lvl w:ilvl="1" w:tplc="C8DAFAF2">
      <w:numFmt w:val="bullet"/>
      <w:lvlText w:val="•"/>
      <w:lvlJc w:val="left"/>
      <w:pPr>
        <w:ind w:left="1176" w:hanging="500"/>
      </w:pPr>
      <w:rPr>
        <w:rFonts w:hint="default"/>
      </w:rPr>
    </w:lvl>
    <w:lvl w:ilvl="2" w:tplc="9D60136A">
      <w:numFmt w:val="bullet"/>
      <w:lvlText w:val="•"/>
      <w:lvlJc w:val="left"/>
      <w:pPr>
        <w:ind w:left="2232" w:hanging="500"/>
      </w:pPr>
      <w:rPr>
        <w:rFonts w:hint="default"/>
      </w:rPr>
    </w:lvl>
    <w:lvl w:ilvl="3" w:tplc="463E40DA">
      <w:numFmt w:val="bullet"/>
      <w:lvlText w:val="•"/>
      <w:lvlJc w:val="left"/>
      <w:pPr>
        <w:ind w:left="3288" w:hanging="500"/>
      </w:pPr>
      <w:rPr>
        <w:rFonts w:hint="default"/>
      </w:rPr>
    </w:lvl>
    <w:lvl w:ilvl="4" w:tplc="7AA0BBF6">
      <w:numFmt w:val="bullet"/>
      <w:lvlText w:val="•"/>
      <w:lvlJc w:val="left"/>
      <w:pPr>
        <w:ind w:left="4344" w:hanging="500"/>
      </w:pPr>
      <w:rPr>
        <w:rFonts w:hint="default"/>
      </w:rPr>
    </w:lvl>
    <w:lvl w:ilvl="5" w:tplc="5B5AE8C2">
      <w:numFmt w:val="bullet"/>
      <w:lvlText w:val="•"/>
      <w:lvlJc w:val="left"/>
      <w:pPr>
        <w:ind w:left="5400" w:hanging="500"/>
      </w:pPr>
      <w:rPr>
        <w:rFonts w:hint="default"/>
      </w:rPr>
    </w:lvl>
    <w:lvl w:ilvl="6" w:tplc="13F63D1C">
      <w:numFmt w:val="bullet"/>
      <w:lvlText w:val="•"/>
      <w:lvlJc w:val="left"/>
      <w:pPr>
        <w:ind w:left="6456" w:hanging="500"/>
      </w:pPr>
      <w:rPr>
        <w:rFonts w:hint="default"/>
      </w:rPr>
    </w:lvl>
    <w:lvl w:ilvl="7" w:tplc="B1E8C516">
      <w:numFmt w:val="bullet"/>
      <w:lvlText w:val="•"/>
      <w:lvlJc w:val="left"/>
      <w:pPr>
        <w:ind w:left="7512" w:hanging="500"/>
      </w:pPr>
      <w:rPr>
        <w:rFonts w:hint="default"/>
      </w:rPr>
    </w:lvl>
    <w:lvl w:ilvl="8" w:tplc="809C6DD0">
      <w:numFmt w:val="bullet"/>
      <w:lvlText w:val="•"/>
      <w:lvlJc w:val="left"/>
      <w:pPr>
        <w:ind w:left="8568" w:hanging="5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3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0"/>
  </w:num>
  <w:num w:numId="11">
    <w:abstractNumId w:val="31"/>
  </w:num>
  <w:num w:numId="12">
    <w:abstractNumId w:val="17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4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15AD4"/>
    <w:rsid w:val="00020C5D"/>
    <w:rsid w:val="00024DF3"/>
    <w:rsid w:val="00025E13"/>
    <w:rsid w:val="000329B3"/>
    <w:rsid w:val="00033182"/>
    <w:rsid w:val="00036C28"/>
    <w:rsid w:val="00042360"/>
    <w:rsid w:val="000423ED"/>
    <w:rsid w:val="000441D2"/>
    <w:rsid w:val="0005328F"/>
    <w:rsid w:val="00061ABC"/>
    <w:rsid w:val="0009711A"/>
    <w:rsid w:val="000A57B3"/>
    <w:rsid w:val="000B4D44"/>
    <w:rsid w:val="000C0EDA"/>
    <w:rsid w:val="000C2238"/>
    <w:rsid w:val="000C4FDE"/>
    <w:rsid w:val="000C5E80"/>
    <w:rsid w:val="000C64C9"/>
    <w:rsid w:val="000C7500"/>
    <w:rsid w:val="000D7AEA"/>
    <w:rsid w:val="000E5C7A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25E63"/>
    <w:rsid w:val="001266ED"/>
    <w:rsid w:val="00127143"/>
    <w:rsid w:val="001425C9"/>
    <w:rsid w:val="00143BB6"/>
    <w:rsid w:val="00143F5F"/>
    <w:rsid w:val="001547B1"/>
    <w:rsid w:val="00164346"/>
    <w:rsid w:val="00180670"/>
    <w:rsid w:val="001811CA"/>
    <w:rsid w:val="001824EB"/>
    <w:rsid w:val="0018681C"/>
    <w:rsid w:val="001951FC"/>
    <w:rsid w:val="00195E1A"/>
    <w:rsid w:val="001A4BA4"/>
    <w:rsid w:val="001A6530"/>
    <w:rsid w:val="001B47E8"/>
    <w:rsid w:val="001C44ED"/>
    <w:rsid w:val="001E3845"/>
    <w:rsid w:val="001F3A14"/>
    <w:rsid w:val="001F3E74"/>
    <w:rsid w:val="00200FC3"/>
    <w:rsid w:val="0020543B"/>
    <w:rsid w:val="00205948"/>
    <w:rsid w:val="00216518"/>
    <w:rsid w:val="0021796C"/>
    <w:rsid w:val="00226681"/>
    <w:rsid w:val="002347FB"/>
    <w:rsid w:val="00243BD0"/>
    <w:rsid w:val="00246A86"/>
    <w:rsid w:val="00247FD6"/>
    <w:rsid w:val="0025725A"/>
    <w:rsid w:val="00257E32"/>
    <w:rsid w:val="00261DAD"/>
    <w:rsid w:val="002626ED"/>
    <w:rsid w:val="00264508"/>
    <w:rsid w:val="00265BF0"/>
    <w:rsid w:val="0027255D"/>
    <w:rsid w:val="002758F0"/>
    <w:rsid w:val="00275CB3"/>
    <w:rsid w:val="002800DF"/>
    <w:rsid w:val="002A5635"/>
    <w:rsid w:val="002A650B"/>
    <w:rsid w:val="002B3E20"/>
    <w:rsid w:val="002D0428"/>
    <w:rsid w:val="002D3CF5"/>
    <w:rsid w:val="002D4809"/>
    <w:rsid w:val="002D5B2E"/>
    <w:rsid w:val="002E2A00"/>
    <w:rsid w:val="002E4CA0"/>
    <w:rsid w:val="002E5B37"/>
    <w:rsid w:val="002F218F"/>
    <w:rsid w:val="002F3FEE"/>
    <w:rsid w:val="002F4881"/>
    <w:rsid w:val="003078B8"/>
    <w:rsid w:val="003128BB"/>
    <w:rsid w:val="003128C5"/>
    <w:rsid w:val="00314E7E"/>
    <w:rsid w:val="00315358"/>
    <w:rsid w:val="00326FCC"/>
    <w:rsid w:val="00334B1C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1E4C"/>
    <w:rsid w:val="003A7967"/>
    <w:rsid w:val="003B0DF3"/>
    <w:rsid w:val="003E2F18"/>
    <w:rsid w:val="003E325B"/>
    <w:rsid w:val="003E5363"/>
    <w:rsid w:val="003F1820"/>
    <w:rsid w:val="003F427D"/>
    <w:rsid w:val="003F5E98"/>
    <w:rsid w:val="00401F17"/>
    <w:rsid w:val="00401FE9"/>
    <w:rsid w:val="00402D14"/>
    <w:rsid w:val="004074C7"/>
    <w:rsid w:val="00407EDD"/>
    <w:rsid w:val="00414275"/>
    <w:rsid w:val="00417FF1"/>
    <w:rsid w:val="0042319B"/>
    <w:rsid w:val="00425183"/>
    <w:rsid w:val="00425B72"/>
    <w:rsid w:val="00425C65"/>
    <w:rsid w:val="00435847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3D2F"/>
    <w:rsid w:val="00514172"/>
    <w:rsid w:val="0051466D"/>
    <w:rsid w:val="00517B58"/>
    <w:rsid w:val="00520D29"/>
    <w:rsid w:val="00536125"/>
    <w:rsid w:val="00536B5E"/>
    <w:rsid w:val="00537B5A"/>
    <w:rsid w:val="0054053E"/>
    <w:rsid w:val="0054211B"/>
    <w:rsid w:val="0054293D"/>
    <w:rsid w:val="0054683B"/>
    <w:rsid w:val="005560F5"/>
    <w:rsid w:val="0056456B"/>
    <w:rsid w:val="00565189"/>
    <w:rsid w:val="00591744"/>
    <w:rsid w:val="005A32C5"/>
    <w:rsid w:val="005A401A"/>
    <w:rsid w:val="005A47A8"/>
    <w:rsid w:val="005B0840"/>
    <w:rsid w:val="005B3B0A"/>
    <w:rsid w:val="005B4B5B"/>
    <w:rsid w:val="005C12CB"/>
    <w:rsid w:val="005C616A"/>
    <w:rsid w:val="005E2023"/>
    <w:rsid w:val="005F745A"/>
    <w:rsid w:val="00600896"/>
    <w:rsid w:val="00603D96"/>
    <w:rsid w:val="0060445B"/>
    <w:rsid w:val="0060702F"/>
    <w:rsid w:val="0062671A"/>
    <w:rsid w:val="00631665"/>
    <w:rsid w:val="0065258C"/>
    <w:rsid w:val="00654DAA"/>
    <w:rsid w:val="0065765C"/>
    <w:rsid w:val="00661F60"/>
    <w:rsid w:val="00664A2C"/>
    <w:rsid w:val="00667689"/>
    <w:rsid w:val="0067067A"/>
    <w:rsid w:val="0067097C"/>
    <w:rsid w:val="0067255F"/>
    <w:rsid w:val="006860EB"/>
    <w:rsid w:val="00690ED9"/>
    <w:rsid w:val="00694C86"/>
    <w:rsid w:val="006973C1"/>
    <w:rsid w:val="00697F80"/>
    <w:rsid w:val="006A32ED"/>
    <w:rsid w:val="006A62A6"/>
    <w:rsid w:val="006B321A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2511"/>
    <w:rsid w:val="006F4892"/>
    <w:rsid w:val="006F730D"/>
    <w:rsid w:val="006F734E"/>
    <w:rsid w:val="00703CE0"/>
    <w:rsid w:val="00712091"/>
    <w:rsid w:val="0071212A"/>
    <w:rsid w:val="00735407"/>
    <w:rsid w:val="0074708F"/>
    <w:rsid w:val="00750F7A"/>
    <w:rsid w:val="00764829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0FD5"/>
    <w:rsid w:val="007B3FC5"/>
    <w:rsid w:val="007B41E6"/>
    <w:rsid w:val="007B4EE2"/>
    <w:rsid w:val="007C5FC6"/>
    <w:rsid w:val="007C633D"/>
    <w:rsid w:val="007D78EB"/>
    <w:rsid w:val="007E1555"/>
    <w:rsid w:val="007E4879"/>
    <w:rsid w:val="007F04B0"/>
    <w:rsid w:val="007F7870"/>
    <w:rsid w:val="008001C7"/>
    <w:rsid w:val="0080582A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277DF"/>
    <w:rsid w:val="00837D4B"/>
    <w:rsid w:val="008438B3"/>
    <w:rsid w:val="00845729"/>
    <w:rsid w:val="0084672D"/>
    <w:rsid w:val="008522E2"/>
    <w:rsid w:val="0085269C"/>
    <w:rsid w:val="0086333F"/>
    <w:rsid w:val="00865511"/>
    <w:rsid w:val="008943DD"/>
    <w:rsid w:val="008A0490"/>
    <w:rsid w:val="008A1DC0"/>
    <w:rsid w:val="008A3ECB"/>
    <w:rsid w:val="008B0774"/>
    <w:rsid w:val="008B2D38"/>
    <w:rsid w:val="008B6CF2"/>
    <w:rsid w:val="008C6D36"/>
    <w:rsid w:val="008E0CDB"/>
    <w:rsid w:val="008E2DCC"/>
    <w:rsid w:val="008E6A13"/>
    <w:rsid w:val="008F61C6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700F2"/>
    <w:rsid w:val="00971B17"/>
    <w:rsid w:val="00973519"/>
    <w:rsid w:val="00976221"/>
    <w:rsid w:val="00976DDC"/>
    <w:rsid w:val="009832C2"/>
    <w:rsid w:val="009871E8"/>
    <w:rsid w:val="00987B90"/>
    <w:rsid w:val="0099433A"/>
    <w:rsid w:val="009A52DB"/>
    <w:rsid w:val="009A768E"/>
    <w:rsid w:val="009B69F3"/>
    <w:rsid w:val="009C0A1F"/>
    <w:rsid w:val="009C1A7F"/>
    <w:rsid w:val="009C7C0A"/>
    <w:rsid w:val="009D3DD9"/>
    <w:rsid w:val="009D6FF1"/>
    <w:rsid w:val="009E1307"/>
    <w:rsid w:val="009E19E6"/>
    <w:rsid w:val="009E2710"/>
    <w:rsid w:val="009E33F8"/>
    <w:rsid w:val="009E7736"/>
    <w:rsid w:val="009F2E35"/>
    <w:rsid w:val="009F4148"/>
    <w:rsid w:val="009F7D04"/>
    <w:rsid w:val="00A004A0"/>
    <w:rsid w:val="00A02AFA"/>
    <w:rsid w:val="00A03E49"/>
    <w:rsid w:val="00A12E5C"/>
    <w:rsid w:val="00A14DBA"/>
    <w:rsid w:val="00A16E42"/>
    <w:rsid w:val="00A2413F"/>
    <w:rsid w:val="00A2561D"/>
    <w:rsid w:val="00A301D9"/>
    <w:rsid w:val="00A30895"/>
    <w:rsid w:val="00A31096"/>
    <w:rsid w:val="00A324E2"/>
    <w:rsid w:val="00A33D07"/>
    <w:rsid w:val="00A3696A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162C"/>
    <w:rsid w:val="00AA7228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5495"/>
    <w:rsid w:val="00AF626B"/>
    <w:rsid w:val="00B00011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2DE3"/>
    <w:rsid w:val="00B624E2"/>
    <w:rsid w:val="00B6251A"/>
    <w:rsid w:val="00B63209"/>
    <w:rsid w:val="00B70DC4"/>
    <w:rsid w:val="00B72369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792E"/>
    <w:rsid w:val="00BB3BF6"/>
    <w:rsid w:val="00BC7B4A"/>
    <w:rsid w:val="00BD00C6"/>
    <w:rsid w:val="00BD5956"/>
    <w:rsid w:val="00BD5A73"/>
    <w:rsid w:val="00BD5B3C"/>
    <w:rsid w:val="00BD7910"/>
    <w:rsid w:val="00BD7CE5"/>
    <w:rsid w:val="00BF4F61"/>
    <w:rsid w:val="00C007EB"/>
    <w:rsid w:val="00C01139"/>
    <w:rsid w:val="00C02CB6"/>
    <w:rsid w:val="00C13E5E"/>
    <w:rsid w:val="00C160DE"/>
    <w:rsid w:val="00C34A37"/>
    <w:rsid w:val="00C427AB"/>
    <w:rsid w:val="00C442DF"/>
    <w:rsid w:val="00C444DA"/>
    <w:rsid w:val="00C44C87"/>
    <w:rsid w:val="00C50DF0"/>
    <w:rsid w:val="00C51CC4"/>
    <w:rsid w:val="00C64134"/>
    <w:rsid w:val="00C90E5C"/>
    <w:rsid w:val="00C92847"/>
    <w:rsid w:val="00C93F7D"/>
    <w:rsid w:val="00C949EA"/>
    <w:rsid w:val="00CA1B86"/>
    <w:rsid w:val="00CA61E5"/>
    <w:rsid w:val="00CB1CD0"/>
    <w:rsid w:val="00CB2CDB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4502"/>
    <w:rsid w:val="00D84E1E"/>
    <w:rsid w:val="00D84FCB"/>
    <w:rsid w:val="00D87F8F"/>
    <w:rsid w:val="00D94AE0"/>
    <w:rsid w:val="00DA27B9"/>
    <w:rsid w:val="00DB079F"/>
    <w:rsid w:val="00DB517F"/>
    <w:rsid w:val="00DC4563"/>
    <w:rsid w:val="00DC7D70"/>
    <w:rsid w:val="00DD3BD9"/>
    <w:rsid w:val="00DD3F24"/>
    <w:rsid w:val="00DE0BA1"/>
    <w:rsid w:val="00DE443D"/>
    <w:rsid w:val="00DF536C"/>
    <w:rsid w:val="00E01434"/>
    <w:rsid w:val="00E01F32"/>
    <w:rsid w:val="00E03C56"/>
    <w:rsid w:val="00E14C29"/>
    <w:rsid w:val="00E21A61"/>
    <w:rsid w:val="00E22BE3"/>
    <w:rsid w:val="00E25CB8"/>
    <w:rsid w:val="00E338D9"/>
    <w:rsid w:val="00E35103"/>
    <w:rsid w:val="00E4326D"/>
    <w:rsid w:val="00E44ACA"/>
    <w:rsid w:val="00E47DBA"/>
    <w:rsid w:val="00E500CF"/>
    <w:rsid w:val="00E5311B"/>
    <w:rsid w:val="00E55B8E"/>
    <w:rsid w:val="00E5721C"/>
    <w:rsid w:val="00E619D9"/>
    <w:rsid w:val="00E63DCA"/>
    <w:rsid w:val="00E66F4B"/>
    <w:rsid w:val="00E67CC1"/>
    <w:rsid w:val="00E72974"/>
    <w:rsid w:val="00E80495"/>
    <w:rsid w:val="00E84E32"/>
    <w:rsid w:val="00E85B67"/>
    <w:rsid w:val="00E864B3"/>
    <w:rsid w:val="00E87763"/>
    <w:rsid w:val="00E93156"/>
    <w:rsid w:val="00E9592F"/>
    <w:rsid w:val="00E96882"/>
    <w:rsid w:val="00E96CF5"/>
    <w:rsid w:val="00EB3F69"/>
    <w:rsid w:val="00EC32FA"/>
    <w:rsid w:val="00EC6011"/>
    <w:rsid w:val="00EC72DA"/>
    <w:rsid w:val="00ED1966"/>
    <w:rsid w:val="00ED3FD6"/>
    <w:rsid w:val="00ED60B5"/>
    <w:rsid w:val="00EE5079"/>
    <w:rsid w:val="00EF01DF"/>
    <w:rsid w:val="00EF39C8"/>
    <w:rsid w:val="00EF4633"/>
    <w:rsid w:val="00F01409"/>
    <w:rsid w:val="00F058B1"/>
    <w:rsid w:val="00F06F49"/>
    <w:rsid w:val="00F123E3"/>
    <w:rsid w:val="00F1432E"/>
    <w:rsid w:val="00F2371E"/>
    <w:rsid w:val="00F24B07"/>
    <w:rsid w:val="00F27A0A"/>
    <w:rsid w:val="00F31032"/>
    <w:rsid w:val="00F40EA9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81335"/>
    <w:rsid w:val="00F92E34"/>
    <w:rsid w:val="00F95D3E"/>
    <w:rsid w:val="00F96A34"/>
    <w:rsid w:val="00FA3A27"/>
    <w:rsid w:val="00FA61BB"/>
    <w:rsid w:val="00FA6707"/>
    <w:rsid w:val="00FD2E08"/>
    <w:rsid w:val="00FD705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uiPriority w:val="1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66CE-E801-4292-A997-EF993B61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40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21</cp:revision>
  <cp:lastPrinted>2018-11-29T06:17:00Z</cp:lastPrinted>
  <dcterms:created xsi:type="dcterms:W3CDTF">2018-09-27T05:41:00Z</dcterms:created>
  <dcterms:modified xsi:type="dcterms:W3CDTF">2018-11-29T06:17:00Z</dcterms:modified>
</cp:coreProperties>
</file>